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9DE8" w14:textId="2B801FD7" w:rsidR="000106B4" w:rsidRPr="00223166" w:rsidRDefault="000106B4" w:rsidP="00DB2051">
      <w:pPr>
        <w:pStyle w:val="ListParagraph"/>
        <w:numPr>
          <w:ilvl w:val="0"/>
          <w:numId w:val="4"/>
        </w:numPr>
        <w:spacing w:before="60" w:after="120"/>
        <w:rPr>
          <w:rFonts w:cstheme="minorHAnsi"/>
          <w:bCs/>
          <w:sz w:val="24"/>
          <w:szCs w:val="24"/>
        </w:rPr>
      </w:pPr>
      <w:r w:rsidRPr="00EA2499">
        <w:rPr>
          <w:rFonts w:cstheme="minorHAnsi"/>
          <w:b/>
          <w:sz w:val="24"/>
          <w:szCs w:val="24"/>
        </w:rPr>
        <w:t>Purpose:</w:t>
      </w:r>
      <w:r w:rsidRPr="00223166">
        <w:rPr>
          <w:rFonts w:cstheme="minorHAnsi"/>
          <w:bCs/>
          <w:sz w:val="24"/>
          <w:szCs w:val="24"/>
        </w:rPr>
        <w:t xml:space="preserve"> </w:t>
      </w:r>
      <w:r w:rsidR="00EA2499" w:rsidRPr="00EA2499">
        <w:rPr>
          <w:rFonts w:cstheme="minorHAnsi"/>
          <w:bCs/>
          <w:sz w:val="24"/>
          <w:szCs w:val="24"/>
        </w:rPr>
        <w:t>The purpose of this protocol is to outline the management of patients undergoing minimally invasive breast procedures who are taking anticoagulant or coagulation</w:t>
      </w:r>
      <w:r w:rsidR="00EA2499" w:rsidRPr="00EA2499">
        <w:rPr>
          <w:rFonts w:cstheme="minorHAnsi"/>
          <w:bCs/>
          <w:sz w:val="24"/>
          <w:szCs w:val="24"/>
        </w:rPr>
        <w:noBreakHyphen/>
        <w:t>altering medications. Following review of current literature and reassessment of bleeding risk, these medications are no longer held prior to the procedure. Warfarin is also not held unless the patient’s INR is outside the institution’s acceptable therapeutic range. This approach supports timely access to care while maintaining patient safety.</w:t>
      </w:r>
    </w:p>
    <w:p w14:paraId="48278EEB" w14:textId="42236C3D" w:rsidR="000106B4" w:rsidRPr="00223166" w:rsidRDefault="000106B4" w:rsidP="00DB2051">
      <w:pPr>
        <w:pStyle w:val="ListParagraph"/>
        <w:numPr>
          <w:ilvl w:val="0"/>
          <w:numId w:val="4"/>
        </w:numPr>
        <w:spacing w:before="60" w:after="120"/>
        <w:rPr>
          <w:rFonts w:cstheme="minorHAnsi"/>
          <w:bCs/>
          <w:sz w:val="24"/>
          <w:szCs w:val="24"/>
        </w:rPr>
      </w:pPr>
      <w:r w:rsidRPr="00223166">
        <w:rPr>
          <w:rFonts w:cstheme="minorHAnsi"/>
          <w:b/>
          <w:sz w:val="24"/>
          <w:szCs w:val="24"/>
          <w:u w:val="single"/>
        </w:rPr>
        <w:t>Evaluation:</w:t>
      </w:r>
      <w:r w:rsidRPr="00223166">
        <w:rPr>
          <w:rFonts w:cstheme="minorHAnsi"/>
          <w:bCs/>
          <w:sz w:val="24"/>
          <w:szCs w:val="24"/>
        </w:rPr>
        <w:t xml:space="preserve"> </w:t>
      </w:r>
      <w:r w:rsidR="00C860EE" w:rsidRPr="00223166">
        <w:rPr>
          <w:rFonts w:cstheme="minorHAnsi"/>
          <w:bCs/>
          <w:sz w:val="24"/>
          <w:szCs w:val="24"/>
        </w:rPr>
        <w:t>All patient medications will be reviewed when scheduling minimally invasive breast procedures.</w:t>
      </w:r>
    </w:p>
    <w:p w14:paraId="6BA20C87" w14:textId="1210E497" w:rsidR="000106B4" w:rsidRPr="00223166" w:rsidRDefault="00C860EE" w:rsidP="00DB2051">
      <w:pPr>
        <w:pStyle w:val="ListParagraph"/>
        <w:numPr>
          <w:ilvl w:val="0"/>
          <w:numId w:val="6"/>
        </w:numPr>
        <w:spacing w:before="60" w:after="120"/>
        <w:rPr>
          <w:rFonts w:cstheme="minorHAnsi"/>
          <w:bCs/>
          <w:sz w:val="24"/>
          <w:szCs w:val="24"/>
        </w:rPr>
      </w:pPr>
      <w:r w:rsidRPr="00223166">
        <w:rPr>
          <w:rFonts w:cstheme="minorHAnsi"/>
          <w:bCs/>
          <w:sz w:val="24"/>
          <w:szCs w:val="24"/>
        </w:rPr>
        <w:t>Fine Needle Aspiration (</w:t>
      </w:r>
      <w:r w:rsidR="000106B4" w:rsidRPr="00223166">
        <w:rPr>
          <w:rFonts w:cstheme="minorHAnsi"/>
          <w:bCs/>
          <w:sz w:val="24"/>
          <w:szCs w:val="24"/>
        </w:rPr>
        <w:t>FNA</w:t>
      </w:r>
      <w:r w:rsidRPr="00223166">
        <w:rPr>
          <w:rFonts w:cstheme="minorHAnsi"/>
          <w:bCs/>
          <w:sz w:val="24"/>
          <w:szCs w:val="24"/>
        </w:rPr>
        <w:t>)</w:t>
      </w:r>
    </w:p>
    <w:p w14:paraId="008E4D7C" w14:textId="77777777" w:rsidR="00C860EE" w:rsidRPr="00223166" w:rsidRDefault="00C860EE" w:rsidP="00DB2051">
      <w:pPr>
        <w:pStyle w:val="ListParagraph"/>
        <w:numPr>
          <w:ilvl w:val="0"/>
          <w:numId w:val="6"/>
        </w:numPr>
        <w:spacing w:before="60" w:after="120"/>
        <w:rPr>
          <w:rFonts w:cstheme="minorHAnsi"/>
          <w:bCs/>
          <w:sz w:val="24"/>
          <w:szCs w:val="24"/>
        </w:rPr>
      </w:pPr>
      <w:r w:rsidRPr="00223166">
        <w:rPr>
          <w:rFonts w:cstheme="minorHAnsi"/>
          <w:bCs/>
          <w:sz w:val="24"/>
          <w:szCs w:val="24"/>
        </w:rPr>
        <w:t xml:space="preserve">Breast </w:t>
      </w:r>
      <w:r w:rsidR="000106B4" w:rsidRPr="00223166">
        <w:rPr>
          <w:rFonts w:cstheme="minorHAnsi"/>
          <w:bCs/>
          <w:sz w:val="24"/>
          <w:szCs w:val="24"/>
        </w:rPr>
        <w:t xml:space="preserve">Core Biopsy </w:t>
      </w:r>
    </w:p>
    <w:p w14:paraId="42C785B6" w14:textId="48D0FA2D" w:rsidR="000106B4" w:rsidRPr="00223166" w:rsidRDefault="00C860EE" w:rsidP="00DB2051">
      <w:pPr>
        <w:pStyle w:val="ListParagraph"/>
        <w:numPr>
          <w:ilvl w:val="1"/>
          <w:numId w:val="4"/>
        </w:numPr>
        <w:spacing w:before="60" w:after="120"/>
        <w:rPr>
          <w:rFonts w:cstheme="minorHAnsi"/>
          <w:bCs/>
          <w:sz w:val="24"/>
          <w:szCs w:val="24"/>
        </w:rPr>
      </w:pPr>
      <w:r w:rsidRPr="00223166">
        <w:rPr>
          <w:rFonts w:cstheme="minorHAnsi"/>
          <w:bCs/>
          <w:sz w:val="24"/>
          <w:szCs w:val="24"/>
        </w:rPr>
        <w:t>T</w:t>
      </w:r>
      <w:r w:rsidR="000106B4" w:rsidRPr="00223166">
        <w:rPr>
          <w:rFonts w:cstheme="minorHAnsi"/>
          <w:bCs/>
          <w:sz w:val="24"/>
          <w:szCs w:val="24"/>
        </w:rPr>
        <w:t>he smallest gauge needle biopsy should be used to minimize trauma and bleeding, while providing diagnostic quality samples.</w:t>
      </w:r>
    </w:p>
    <w:p w14:paraId="5DACA370" w14:textId="77777777" w:rsidR="00C860EE" w:rsidRPr="00223166" w:rsidRDefault="000106B4" w:rsidP="00DB2051">
      <w:pPr>
        <w:pStyle w:val="ListParagraph"/>
        <w:numPr>
          <w:ilvl w:val="0"/>
          <w:numId w:val="6"/>
        </w:numPr>
        <w:spacing w:before="60" w:after="120"/>
        <w:rPr>
          <w:rFonts w:cstheme="minorHAnsi"/>
          <w:bCs/>
          <w:sz w:val="24"/>
          <w:szCs w:val="24"/>
        </w:rPr>
      </w:pPr>
      <w:r w:rsidRPr="00223166">
        <w:rPr>
          <w:rFonts w:cstheme="minorHAnsi"/>
          <w:bCs/>
          <w:sz w:val="24"/>
          <w:szCs w:val="24"/>
        </w:rPr>
        <w:t>Stereotactic Breast Biopsy</w:t>
      </w:r>
      <w:r w:rsidR="00C860EE" w:rsidRPr="00223166">
        <w:rPr>
          <w:rFonts w:cstheme="minorHAnsi"/>
          <w:bCs/>
          <w:sz w:val="24"/>
          <w:szCs w:val="24"/>
        </w:rPr>
        <w:t xml:space="preserve"> </w:t>
      </w:r>
    </w:p>
    <w:p w14:paraId="00F65C6E" w14:textId="77777777" w:rsidR="00C860EE" w:rsidRPr="00223166" w:rsidRDefault="00C860EE" w:rsidP="00DB2051">
      <w:pPr>
        <w:pStyle w:val="ListParagraph"/>
        <w:numPr>
          <w:ilvl w:val="0"/>
          <w:numId w:val="9"/>
        </w:numPr>
        <w:tabs>
          <w:tab w:val="left" w:pos="360"/>
        </w:tabs>
        <w:spacing w:before="60" w:after="120"/>
        <w:rPr>
          <w:rFonts w:cstheme="minorHAnsi"/>
          <w:bCs/>
          <w:sz w:val="24"/>
          <w:szCs w:val="24"/>
        </w:rPr>
      </w:pPr>
      <w:r w:rsidRPr="00223166">
        <w:rPr>
          <w:rFonts w:cstheme="minorHAnsi"/>
          <w:bCs/>
          <w:sz w:val="24"/>
          <w:szCs w:val="24"/>
        </w:rPr>
        <w:t>Each case will be assessed to determine safe performance while decreasing risk and providing benefit to the patient.</w:t>
      </w:r>
    </w:p>
    <w:p w14:paraId="6B5D9C29" w14:textId="2A784CDE" w:rsidR="000106B4" w:rsidRPr="00223166" w:rsidRDefault="000106B4" w:rsidP="00DB2051">
      <w:pPr>
        <w:pStyle w:val="ListParagraph"/>
        <w:numPr>
          <w:ilvl w:val="0"/>
          <w:numId w:val="4"/>
        </w:numPr>
        <w:spacing w:before="60" w:after="120"/>
        <w:rPr>
          <w:rFonts w:cstheme="minorHAnsi"/>
          <w:bCs/>
          <w:sz w:val="24"/>
          <w:szCs w:val="24"/>
        </w:rPr>
      </w:pPr>
      <w:r w:rsidRPr="00223166">
        <w:rPr>
          <w:rFonts w:cstheme="minorHAnsi"/>
          <w:b/>
          <w:sz w:val="24"/>
          <w:szCs w:val="24"/>
          <w:u w:val="single"/>
        </w:rPr>
        <w:t>Protocol:</w:t>
      </w:r>
      <w:r w:rsidR="00C860EE" w:rsidRPr="00223166">
        <w:rPr>
          <w:rFonts w:cstheme="minorHAnsi"/>
          <w:bCs/>
          <w:sz w:val="24"/>
          <w:szCs w:val="24"/>
        </w:rPr>
        <w:t xml:space="preserve"> </w:t>
      </w:r>
      <w:r w:rsidR="00F22706" w:rsidRPr="00223166">
        <w:rPr>
          <w:rFonts w:cstheme="minorHAnsi"/>
          <w:bCs/>
          <w:sz w:val="24"/>
          <w:szCs w:val="24"/>
        </w:rPr>
        <w:t>When a patient is noted to be on Warfarin, the following steps will be implemented:</w:t>
      </w:r>
    </w:p>
    <w:p w14:paraId="013CB6BA" w14:textId="0E5BC921" w:rsidR="000106B4" w:rsidRPr="00223166" w:rsidRDefault="000106B4" w:rsidP="00DB2051">
      <w:pPr>
        <w:pStyle w:val="ListParagraph"/>
        <w:numPr>
          <w:ilvl w:val="0"/>
          <w:numId w:val="12"/>
        </w:numPr>
        <w:spacing w:before="60" w:after="120"/>
        <w:rPr>
          <w:rFonts w:cstheme="minorHAnsi"/>
          <w:bCs/>
          <w:sz w:val="24"/>
          <w:szCs w:val="24"/>
        </w:rPr>
      </w:pPr>
      <w:r w:rsidRPr="00223166">
        <w:rPr>
          <w:rFonts w:cstheme="minorHAnsi"/>
          <w:bCs/>
          <w:sz w:val="24"/>
          <w:szCs w:val="24"/>
        </w:rPr>
        <w:t>The radiologist will be notified of all medications that may alter coagulation</w:t>
      </w:r>
      <w:r w:rsidR="007A61B6" w:rsidRPr="00223166">
        <w:rPr>
          <w:rFonts w:cstheme="minorHAnsi"/>
          <w:bCs/>
          <w:sz w:val="24"/>
          <w:szCs w:val="24"/>
        </w:rPr>
        <w:t>.</w:t>
      </w:r>
    </w:p>
    <w:p w14:paraId="6EA89AE6" w14:textId="77777777" w:rsidR="00F22706" w:rsidRPr="00223166" w:rsidRDefault="00F22706" w:rsidP="00DB2051">
      <w:pPr>
        <w:pStyle w:val="ListParagraph"/>
        <w:numPr>
          <w:ilvl w:val="0"/>
          <w:numId w:val="12"/>
        </w:numPr>
        <w:spacing w:before="60" w:after="120"/>
        <w:rPr>
          <w:rFonts w:cstheme="minorHAnsi"/>
          <w:bCs/>
          <w:sz w:val="24"/>
          <w:szCs w:val="24"/>
        </w:rPr>
      </w:pPr>
      <w:r w:rsidRPr="00223166">
        <w:rPr>
          <w:rFonts w:cstheme="minorHAnsi"/>
          <w:bCs/>
          <w:sz w:val="24"/>
          <w:szCs w:val="24"/>
        </w:rPr>
        <w:t>The patient will have an INR drawn within 7 days of the scheduled procedure, preferably 24 hours prior.</w:t>
      </w:r>
    </w:p>
    <w:p w14:paraId="554B5C58" w14:textId="63AD686A" w:rsidR="00F22706" w:rsidRPr="00223166" w:rsidRDefault="00F22706" w:rsidP="00DB2051">
      <w:pPr>
        <w:pStyle w:val="ListParagraph"/>
        <w:numPr>
          <w:ilvl w:val="0"/>
          <w:numId w:val="11"/>
        </w:numPr>
        <w:spacing w:before="60" w:after="120"/>
        <w:rPr>
          <w:rFonts w:cstheme="minorHAnsi"/>
          <w:bCs/>
          <w:sz w:val="24"/>
          <w:szCs w:val="24"/>
        </w:rPr>
      </w:pPr>
      <w:r w:rsidRPr="00223166">
        <w:rPr>
          <w:rFonts w:cstheme="minorHAnsi"/>
          <w:bCs/>
          <w:sz w:val="24"/>
          <w:szCs w:val="24"/>
        </w:rPr>
        <w:t>If the INR is drawn on the day of the procedure, it should be ordered as STAT.</w:t>
      </w:r>
    </w:p>
    <w:p w14:paraId="4722804C" w14:textId="77777777" w:rsidR="00F22706" w:rsidRPr="00223166" w:rsidRDefault="00F22706" w:rsidP="00DB2051">
      <w:pPr>
        <w:pStyle w:val="ListParagraph"/>
        <w:numPr>
          <w:ilvl w:val="0"/>
          <w:numId w:val="11"/>
        </w:numPr>
        <w:spacing w:before="60" w:after="120"/>
        <w:rPr>
          <w:rFonts w:cstheme="minorHAnsi"/>
          <w:bCs/>
          <w:sz w:val="24"/>
          <w:szCs w:val="24"/>
        </w:rPr>
      </w:pPr>
      <w:r w:rsidRPr="00223166">
        <w:rPr>
          <w:rFonts w:cstheme="minorHAnsi"/>
          <w:bCs/>
          <w:sz w:val="24"/>
          <w:szCs w:val="24"/>
        </w:rPr>
        <w:t>If the Warfarin dosage is being adjusted to reach an INR ≤3.0, the INR is drawn within 48 hours of the procedure.</w:t>
      </w:r>
    </w:p>
    <w:p w14:paraId="409FABAB" w14:textId="77647469" w:rsidR="007A61B6" w:rsidRPr="00223166" w:rsidRDefault="007A61B6" w:rsidP="00DB2051">
      <w:pPr>
        <w:pStyle w:val="ListParagraph"/>
        <w:numPr>
          <w:ilvl w:val="0"/>
          <w:numId w:val="12"/>
        </w:numPr>
        <w:spacing w:before="60" w:after="120"/>
        <w:rPr>
          <w:rFonts w:cstheme="minorHAnsi"/>
          <w:bCs/>
          <w:sz w:val="24"/>
          <w:szCs w:val="24"/>
        </w:rPr>
      </w:pPr>
      <w:r w:rsidRPr="00223166">
        <w:rPr>
          <w:sz w:val="24"/>
          <w:szCs w:val="24"/>
        </w:rPr>
        <w:t xml:space="preserve">If the INR is above the </w:t>
      </w:r>
      <w:r w:rsidR="00BB2D21" w:rsidRPr="00223166">
        <w:rPr>
          <w:sz w:val="24"/>
          <w:szCs w:val="24"/>
        </w:rPr>
        <w:t>therapeutic</w:t>
      </w:r>
      <w:r w:rsidRPr="00223166">
        <w:rPr>
          <w:sz w:val="24"/>
          <w:szCs w:val="24"/>
        </w:rPr>
        <w:t xml:space="preserve"> range, the Warfarin-ordering provider </w:t>
      </w:r>
      <w:r w:rsidRPr="00223166">
        <w:rPr>
          <w:rFonts w:cstheme="minorHAnsi"/>
          <w:bCs/>
          <w:sz w:val="24"/>
          <w:szCs w:val="24"/>
        </w:rPr>
        <w:t>will be contacted for adjustment and reassessment of dosage to bring the patients INR into a therapeutic range.</w:t>
      </w:r>
    </w:p>
    <w:p w14:paraId="1D017A95" w14:textId="743E45C7" w:rsidR="000106B4" w:rsidRPr="00223166" w:rsidRDefault="000106B4" w:rsidP="00DB2051">
      <w:pPr>
        <w:pStyle w:val="ListParagraph"/>
        <w:numPr>
          <w:ilvl w:val="1"/>
          <w:numId w:val="4"/>
        </w:numPr>
        <w:spacing w:before="60" w:after="120"/>
        <w:rPr>
          <w:rFonts w:cstheme="minorHAnsi"/>
          <w:bCs/>
          <w:sz w:val="24"/>
          <w:szCs w:val="24"/>
        </w:rPr>
      </w:pPr>
      <w:r w:rsidRPr="00223166">
        <w:rPr>
          <w:rFonts w:cstheme="minorHAnsi"/>
          <w:bCs/>
          <w:sz w:val="24"/>
          <w:szCs w:val="24"/>
        </w:rPr>
        <w:t xml:space="preserve">If the patient </w:t>
      </w:r>
      <w:r w:rsidR="007A61B6" w:rsidRPr="00223166">
        <w:rPr>
          <w:rFonts w:cstheme="minorHAnsi"/>
          <w:bCs/>
          <w:sz w:val="24"/>
          <w:szCs w:val="24"/>
        </w:rPr>
        <w:t xml:space="preserve">INR level must be </w:t>
      </w:r>
      <w:r w:rsidRPr="00223166">
        <w:rPr>
          <w:rFonts w:cstheme="minorHAnsi"/>
          <w:bCs/>
          <w:sz w:val="24"/>
          <w:szCs w:val="24"/>
        </w:rPr>
        <w:t>maintain</w:t>
      </w:r>
      <w:r w:rsidR="007A61B6" w:rsidRPr="00223166">
        <w:rPr>
          <w:rFonts w:cstheme="minorHAnsi"/>
          <w:bCs/>
          <w:sz w:val="24"/>
          <w:szCs w:val="24"/>
        </w:rPr>
        <w:t>ed</w:t>
      </w:r>
      <w:r w:rsidRPr="00223166">
        <w:rPr>
          <w:rFonts w:cstheme="minorHAnsi"/>
          <w:bCs/>
          <w:sz w:val="24"/>
          <w:szCs w:val="24"/>
        </w:rPr>
        <w:t xml:space="preserve"> above therapeutic levels, coordination with the referring clinician and/or surgeon will be made to assure the safest route for the diagnostic procedure</w:t>
      </w:r>
      <w:r w:rsidR="007A61B6" w:rsidRPr="00223166">
        <w:rPr>
          <w:rFonts w:cstheme="minorHAnsi"/>
          <w:bCs/>
          <w:sz w:val="24"/>
          <w:szCs w:val="24"/>
        </w:rPr>
        <w:t>.</w:t>
      </w:r>
    </w:p>
    <w:p w14:paraId="5CC87806" w14:textId="77777777" w:rsidR="000106B4" w:rsidRPr="00223166" w:rsidRDefault="000106B4" w:rsidP="00DB2051">
      <w:pPr>
        <w:pStyle w:val="ListParagraph"/>
        <w:numPr>
          <w:ilvl w:val="0"/>
          <w:numId w:val="4"/>
        </w:numPr>
        <w:spacing w:before="60" w:after="120"/>
        <w:rPr>
          <w:rFonts w:cstheme="minorHAnsi"/>
          <w:b/>
          <w:sz w:val="24"/>
          <w:szCs w:val="24"/>
          <w:u w:val="single"/>
        </w:rPr>
      </w:pPr>
      <w:r w:rsidRPr="00223166">
        <w:rPr>
          <w:rFonts w:cstheme="minorHAnsi"/>
          <w:b/>
          <w:sz w:val="24"/>
          <w:szCs w:val="24"/>
          <w:u w:val="single"/>
        </w:rPr>
        <w:t>Procedure:</w:t>
      </w:r>
    </w:p>
    <w:p w14:paraId="11B16C7A" w14:textId="268B990F" w:rsidR="000106B4" w:rsidRPr="00223166" w:rsidRDefault="000106B4" w:rsidP="00DB2051">
      <w:pPr>
        <w:pStyle w:val="ListParagraph"/>
        <w:numPr>
          <w:ilvl w:val="1"/>
          <w:numId w:val="4"/>
        </w:numPr>
        <w:spacing w:before="60" w:after="120"/>
        <w:rPr>
          <w:rFonts w:cstheme="minorHAnsi"/>
          <w:bCs/>
          <w:sz w:val="24"/>
          <w:szCs w:val="24"/>
        </w:rPr>
      </w:pPr>
      <w:r w:rsidRPr="00223166">
        <w:rPr>
          <w:rFonts w:cstheme="minorHAnsi"/>
          <w:bCs/>
          <w:sz w:val="24"/>
          <w:szCs w:val="24"/>
        </w:rPr>
        <w:t xml:space="preserve">The patient will be </w:t>
      </w:r>
      <w:r w:rsidR="005F545A" w:rsidRPr="00223166">
        <w:rPr>
          <w:rFonts w:cstheme="minorHAnsi"/>
          <w:bCs/>
          <w:sz w:val="24"/>
          <w:szCs w:val="24"/>
        </w:rPr>
        <w:t xml:space="preserve">scheduled for the recommended breast procedure as recommended with medications reviewed. </w:t>
      </w:r>
    </w:p>
    <w:p w14:paraId="5E9B462E" w14:textId="172CA5D9" w:rsidR="000106B4" w:rsidRPr="00223166" w:rsidRDefault="005F545A" w:rsidP="00DB2051">
      <w:pPr>
        <w:pStyle w:val="ListParagraph"/>
        <w:numPr>
          <w:ilvl w:val="1"/>
          <w:numId w:val="4"/>
        </w:numPr>
        <w:spacing w:before="60" w:after="120"/>
        <w:rPr>
          <w:rFonts w:cstheme="minorHAnsi"/>
          <w:bCs/>
          <w:sz w:val="24"/>
          <w:szCs w:val="24"/>
        </w:rPr>
      </w:pPr>
      <w:r w:rsidRPr="00223166">
        <w:rPr>
          <w:sz w:val="24"/>
          <w:szCs w:val="24"/>
        </w:rPr>
        <w:t xml:space="preserve">During the informed consent process, the performing radiologist will review the increased risk of bleeding and/or bruising associated with the procedure. </w:t>
      </w:r>
      <w:r w:rsidR="000106B4" w:rsidRPr="00223166">
        <w:rPr>
          <w:rFonts w:cstheme="minorHAnsi"/>
          <w:bCs/>
          <w:sz w:val="24"/>
          <w:szCs w:val="24"/>
        </w:rPr>
        <w:t xml:space="preserve">With appropriate pre- and post-procedure precautions, risk of clinically significant hematoma </w:t>
      </w:r>
      <w:r w:rsidRPr="00223166">
        <w:rPr>
          <w:rFonts w:cstheme="minorHAnsi"/>
          <w:bCs/>
          <w:sz w:val="24"/>
          <w:szCs w:val="24"/>
        </w:rPr>
        <w:t>or</w:t>
      </w:r>
      <w:r w:rsidR="000106B4" w:rsidRPr="00223166">
        <w:rPr>
          <w:rFonts w:cstheme="minorHAnsi"/>
          <w:bCs/>
          <w:sz w:val="24"/>
          <w:szCs w:val="24"/>
        </w:rPr>
        <w:t xml:space="preserve"> other bleeding</w:t>
      </w:r>
      <w:r w:rsidRPr="00223166">
        <w:rPr>
          <w:rFonts w:cstheme="minorHAnsi"/>
          <w:bCs/>
          <w:sz w:val="24"/>
          <w:szCs w:val="24"/>
        </w:rPr>
        <w:t xml:space="preserve"> complications</w:t>
      </w:r>
      <w:r w:rsidR="000106B4" w:rsidRPr="00223166">
        <w:rPr>
          <w:rFonts w:cstheme="minorHAnsi"/>
          <w:bCs/>
          <w:sz w:val="24"/>
          <w:szCs w:val="24"/>
        </w:rPr>
        <w:t xml:space="preserve"> is not </w:t>
      </w:r>
      <w:r w:rsidR="00BB2D21" w:rsidRPr="00223166">
        <w:rPr>
          <w:rFonts w:cstheme="minorHAnsi"/>
          <w:bCs/>
          <w:sz w:val="24"/>
          <w:szCs w:val="24"/>
        </w:rPr>
        <w:t>substantially</w:t>
      </w:r>
      <w:r w:rsidRPr="00223166">
        <w:rPr>
          <w:rFonts w:cstheme="minorHAnsi"/>
          <w:bCs/>
          <w:sz w:val="24"/>
          <w:szCs w:val="24"/>
        </w:rPr>
        <w:t xml:space="preserve"> increased for </w:t>
      </w:r>
      <w:r w:rsidR="00BB2D21" w:rsidRPr="00223166">
        <w:rPr>
          <w:rFonts w:cstheme="minorHAnsi"/>
          <w:bCs/>
          <w:sz w:val="24"/>
          <w:szCs w:val="24"/>
        </w:rPr>
        <w:t>patients</w:t>
      </w:r>
      <w:r w:rsidRPr="00223166">
        <w:rPr>
          <w:rFonts w:cstheme="minorHAnsi"/>
          <w:bCs/>
          <w:sz w:val="24"/>
          <w:szCs w:val="24"/>
        </w:rPr>
        <w:t xml:space="preserve"> who remain on these </w:t>
      </w:r>
      <w:r w:rsidR="000106B4" w:rsidRPr="00223166">
        <w:rPr>
          <w:rFonts w:cstheme="minorHAnsi"/>
          <w:bCs/>
          <w:sz w:val="24"/>
          <w:szCs w:val="24"/>
        </w:rPr>
        <w:t>medications</w:t>
      </w:r>
      <w:r w:rsidRPr="00223166">
        <w:rPr>
          <w:rFonts w:cstheme="minorHAnsi"/>
          <w:bCs/>
          <w:sz w:val="24"/>
          <w:szCs w:val="24"/>
        </w:rPr>
        <w:t>.</w:t>
      </w:r>
    </w:p>
    <w:p w14:paraId="56671449" w14:textId="63D09931" w:rsidR="00223166" w:rsidRPr="00223166" w:rsidRDefault="005F545A" w:rsidP="00DB2051">
      <w:pPr>
        <w:pStyle w:val="ListParagraph"/>
        <w:numPr>
          <w:ilvl w:val="1"/>
          <w:numId w:val="4"/>
        </w:numPr>
        <w:spacing w:before="60" w:after="120"/>
        <w:rPr>
          <w:rFonts w:cstheme="minorHAnsi"/>
          <w:bCs/>
          <w:sz w:val="24"/>
          <w:szCs w:val="24"/>
        </w:rPr>
      </w:pPr>
      <w:r w:rsidRPr="00223166">
        <w:rPr>
          <w:rFonts w:cstheme="minorHAnsi"/>
          <w:bCs/>
          <w:sz w:val="24"/>
          <w:szCs w:val="24"/>
        </w:rPr>
        <w:t>Standard pre-procedure and post</w:t>
      </w:r>
      <w:r w:rsidR="00223166" w:rsidRPr="00223166">
        <w:rPr>
          <w:rFonts w:cstheme="minorHAnsi"/>
          <w:bCs/>
          <w:sz w:val="24"/>
          <w:szCs w:val="24"/>
        </w:rPr>
        <w:t>-</w:t>
      </w:r>
      <w:r w:rsidR="00BB2D21" w:rsidRPr="00223166">
        <w:rPr>
          <w:rFonts w:cstheme="minorHAnsi"/>
          <w:bCs/>
          <w:sz w:val="24"/>
          <w:szCs w:val="24"/>
        </w:rPr>
        <w:t>procedure</w:t>
      </w:r>
      <w:r w:rsidRPr="00223166">
        <w:rPr>
          <w:rFonts w:cstheme="minorHAnsi"/>
          <w:bCs/>
          <w:sz w:val="24"/>
          <w:szCs w:val="24"/>
        </w:rPr>
        <w:t xml:space="preserve"> patient instructions will be followed and provided to the patient</w:t>
      </w:r>
      <w:r w:rsidR="00223166" w:rsidRPr="00223166">
        <w:rPr>
          <w:rFonts w:cstheme="minorHAnsi"/>
          <w:bCs/>
          <w:sz w:val="24"/>
          <w:szCs w:val="24"/>
        </w:rPr>
        <w:t>.</w:t>
      </w:r>
    </w:p>
    <w:p w14:paraId="7703D69D" w14:textId="2BB36AFB" w:rsidR="00621D18" w:rsidRDefault="00621D18" w:rsidP="00DB2051">
      <w:pPr>
        <w:pStyle w:val="ListParagraph"/>
        <w:numPr>
          <w:ilvl w:val="1"/>
          <w:numId w:val="4"/>
        </w:numPr>
        <w:spacing w:before="60" w:after="120"/>
        <w:rPr>
          <w:rFonts w:cstheme="minorHAnsi"/>
          <w:bCs/>
          <w:sz w:val="24"/>
          <w:szCs w:val="24"/>
        </w:rPr>
      </w:pPr>
      <w:r w:rsidRPr="00223166">
        <w:rPr>
          <w:rFonts w:cstheme="minorHAnsi"/>
          <w:bCs/>
          <w:sz w:val="24"/>
          <w:szCs w:val="24"/>
        </w:rPr>
        <w:t xml:space="preserve">All facilities performing minimally invasive breast procedures will </w:t>
      </w:r>
      <w:r w:rsidR="00223166" w:rsidRPr="00223166">
        <w:rPr>
          <w:rFonts w:cstheme="minorHAnsi"/>
          <w:bCs/>
          <w:sz w:val="24"/>
          <w:szCs w:val="24"/>
        </w:rPr>
        <w:t>ensure that a</w:t>
      </w:r>
      <w:r w:rsidRPr="00223166">
        <w:rPr>
          <w:rFonts w:cstheme="minorHAnsi"/>
          <w:bCs/>
          <w:sz w:val="24"/>
          <w:szCs w:val="24"/>
        </w:rPr>
        <w:t xml:space="preserve">ppropriate </w:t>
      </w:r>
      <w:r w:rsidR="00223166" w:rsidRPr="00223166">
        <w:rPr>
          <w:rFonts w:cstheme="minorHAnsi"/>
          <w:bCs/>
          <w:sz w:val="24"/>
          <w:szCs w:val="24"/>
        </w:rPr>
        <w:t xml:space="preserve">clinical </w:t>
      </w:r>
      <w:r w:rsidRPr="00223166">
        <w:rPr>
          <w:rFonts w:cstheme="minorHAnsi"/>
          <w:bCs/>
          <w:sz w:val="24"/>
          <w:szCs w:val="24"/>
        </w:rPr>
        <w:t>personnel contact the patient the day after the procedure to assess comfort</w:t>
      </w:r>
      <w:r w:rsidR="00223166" w:rsidRPr="00223166">
        <w:rPr>
          <w:rFonts w:cstheme="minorHAnsi"/>
          <w:bCs/>
          <w:sz w:val="24"/>
          <w:szCs w:val="24"/>
        </w:rPr>
        <w:t xml:space="preserve">, review expected post-biopsy </w:t>
      </w:r>
      <w:r w:rsidR="00BB2D21" w:rsidRPr="00223166">
        <w:rPr>
          <w:rFonts w:cstheme="minorHAnsi"/>
          <w:bCs/>
          <w:sz w:val="24"/>
          <w:szCs w:val="24"/>
        </w:rPr>
        <w:t>symptoms and</w:t>
      </w:r>
      <w:r w:rsidR="00223166" w:rsidRPr="00223166">
        <w:rPr>
          <w:rFonts w:cstheme="minorHAnsi"/>
          <w:bCs/>
          <w:sz w:val="24"/>
          <w:szCs w:val="24"/>
        </w:rPr>
        <w:t xml:space="preserve"> evaluate for a signs</w:t>
      </w:r>
      <w:r w:rsidRPr="00223166">
        <w:rPr>
          <w:rFonts w:cstheme="minorHAnsi"/>
          <w:bCs/>
          <w:sz w:val="24"/>
          <w:szCs w:val="24"/>
        </w:rPr>
        <w:t xml:space="preserve"> of concerning bleeding </w:t>
      </w:r>
      <w:r w:rsidR="00223166" w:rsidRPr="00223166">
        <w:rPr>
          <w:rFonts w:cstheme="minorHAnsi"/>
          <w:bCs/>
          <w:sz w:val="24"/>
          <w:szCs w:val="24"/>
        </w:rPr>
        <w:t xml:space="preserve">or </w:t>
      </w:r>
      <w:r w:rsidRPr="00223166">
        <w:rPr>
          <w:rFonts w:cstheme="minorHAnsi"/>
          <w:bCs/>
          <w:sz w:val="24"/>
          <w:szCs w:val="24"/>
        </w:rPr>
        <w:t>complications.</w:t>
      </w:r>
    </w:p>
    <w:p w14:paraId="72C6C4C3" w14:textId="77777777" w:rsidR="009174EB" w:rsidRDefault="009174EB" w:rsidP="009174EB">
      <w:pPr>
        <w:spacing w:before="60" w:after="120"/>
        <w:rPr>
          <w:rFonts w:cstheme="minorHAnsi"/>
          <w:bCs/>
          <w:sz w:val="24"/>
          <w:szCs w:val="24"/>
        </w:rPr>
      </w:pPr>
    </w:p>
    <w:p w14:paraId="27653984" w14:textId="77777777" w:rsidR="009174EB" w:rsidRDefault="009174EB" w:rsidP="009174EB">
      <w:pPr>
        <w:spacing w:before="60" w:after="120"/>
        <w:rPr>
          <w:rFonts w:cstheme="minorHAnsi"/>
          <w:bCs/>
          <w:sz w:val="24"/>
          <w:szCs w:val="24"/>
        </w:rPr>
      </w:pPr>
    </w:p>
    <w:tbl>
      <w:tblPr>
        <w:tblpPr w:leftFromText="180" w:rightFromText="180" w:vertAnchor="text" w:horzAnchor="margin" w:tblpY="525"/>
        <w:tblW w:w="10895" w:type="dxa"/>
        <w:tblLayout w:type="fixed"/>
        <w:tblCellMar>
          <w:left w:w="0" w:type="dxa"/>
          <w:right w:w="0" w:type="dxa"/>
        </w:tblCellMar>
        <w:tblLook w:val="04A0" w:firstRow="1" w:lastRow="0" w:firstColumn="1" w:lastColumn="0" w:noHBand="0" w:noVBand="1"/>
      </w:tblPr>
      <w:tblGrid>
        <w:gridCol w:w="264"/>
        <w:gridCol w:w="3057"/>
        <w:gridCol w:w="7"/>
        <w:gridCol w:w="32"/>
        <w:gridCol w:w="4110"/>
        <w:gridCol w:w="1439"/>
        <w:gridCol w:w="1986"/>
      </w:tblGrid>
      <w:tr w:rsidR="009174EB" w14:paraId="68CC7F36" w14:textId="77777777" w:rsidTr="009174EB">
        <w:trPr>
          <w:trHeight w:hRule="exact" w:val="298"/>
        </w:trPr>
        <w:tc>
          <w:tcPr>
            <w:tcW w:w="264" w:type="dxa"/>
            <w:vMerge w:val="restart"/>
            <w:tcBorders>
              <w:top w:val="single" w:sz="5" w:space="0" w:color="000000"/>
              <w:left w:val="single" w:sz="5" w:space="0" w:color="000000"/>
              <w:bottom w:val="single" w:sz="0" w:space="0" w:color="000000"/>
              <w:right w:val="none" w:sz="0" w:space="0" w:color="000000"/>
            </w:tcBorders>
            <w:shd w:val="clear" w:color="92D050" w:fill="92D050"/>
          </w:tcPr>
          <w:p w14:paraId="2C1A21D7" w14:textId="77777777" w:rsidR="009174EB" w:rsidRDefault="009174EB" w:rsidP="00143161">
            <w:pPr>
              <w:textAlignment w:val="baseline"/>
              <w:rPr>
                <w:rFonts w:ascii="Calibri" w:eastAsia="Calibri" w:hAnsi="Calibri"/>
                <w:color w:val="000000"/>
                <w:sz w:val="24"/>
              </w:rPr>
            </w:pPr>
            <w:r>
              <w:rPr>
                <w:rFonts w:ascii="Calibri" w:eastAsia="Calibri" w:hAnsi="Calibri"/>
                <w:color w:val="000000"/>
                <w:sz w:val="24"/>
              </w:rPr>
              <w:lastRenderedPageBreak/>
              <w:t xml:space="preserve"> </w:t>
            </w:r>
          </w:p>
        </w:tc>
        <w:tc>
          <w:tcPr>
            <w:tcW w:w="3064" w:type="dxa"/>
            <w:gridSpan w:val="2"/>
            <w:tcBorders>
              <w:top w:val="single" w:sz="5" w:space="0" w:color="000000"/>
              <w:left w:val="none" w:sz="0" w:space="0" w:color="000000"/>
              <w:bottom w:val="single" w:sz="5" w:space="0" w:color="000000"/>
              <w:right w:val="single" w:sz="5" w:space="0" w:color="000000"/>
            </w:tcBorders>
            <w:shd w:val="clear" w:color="92D050" w:fill="92D050"/>
            <w:vAlign w:val="center"/>
          </w:tcPr>
          <w:p w14:paraId="0190EE94" w14:textId="77777777" w:rsidR="009174EB" w:rsidRDefault="009174EB" w:rsidP="00143161">
            <w:pPr>
              <w:spacing w:before="33" w:after="20" w:line="244" w:lineRule="exact"/>
              <w:ind w:right="1023"/>
              <w:jc w:val="right"/>
              <w:textAlignment w:val="baseline"/>
              <w:rPr>
                <w:rFonts w:ascii="Calibri" w:eastAsia="Calibri" w:hAnsi="Calibri"/>
                <w:b/>
                <w:color w:val="000000"/>
                <w:sz w:val="24"/>
              </w:rPr>
            </w:pPr>
            <w:r>
              <w:rPr>
                <w:rFonts w:ascii="Calibri" w:eastAsia="Calibri" w:hAnsi="Calibri"/>
                <w:b/>
                <w:color w:val="000000"/>
                <w:sz w:val="24"/>
              </w:rPr>
              <w:t>LOW RISK</w:t>
            </w:r>
          </w:p>
        </w:tc>
        <w:tc>
          <w:tcPr>
            <w:tcW w:w="32" w:type="dxa"/>
            <w:vMerge w:val="restart"/>
            <w:tcBorders>
              <w:top w:val="single" w:sz="5" w:space="0" w:color="000000"/>
              <w:left w:val="single" w:sz="5" w:space="0" w:color="000000"/>
              <w:bottom w:val="single" w:sz="0" w:space="0" w:color="000000"/>
              <w:right w:val="single" w:sz="5" w:space="0" w:color="000000"/>
            </w:tcBorders>
            <w:shd w:val="clear" w:color="92D050" w:fill="92D050"/>
          </w:tcPr>
          <w:p w14:paraId="301D6375" w14:textId="77777777" w:rsidR="009174EB" w:rsidRDefault="009174EB" w:rsidP="00143161">
            <w:pPr>
              <w:textAlignment w:val="baseline"/>
              <w:rPr>
                <w:rFonts w:ascii="Calibri" w:eastAsia="Calibri" w:hAnsi="Calibri"/>
                <w:color w:val="000000"/>
                <w:sz w:val="24"/>
              </w:rPr>
            </w:pPr>
            <w:r>
              <w:rPr>
                <w:rFonts w:ascii="Calibri" w:eastAsia="Calibri" w:hAnsi="Calibri"/>
                <w:color w:val="000000"/>
                <w:sz w:val="24"/>
              </w:rPr>
              <w:t xml:space="preserve"> </w:t>
            </w:r>
          </w:p>
        </w:tc>
        <w:tc>
          <w:tcPr>
            <w:tcW w:w="4110"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727D421D" w14:textId="77777777" w:rsidR="009174EB" w:rsidRDefault="009174EB" w:rsidP="00143161">
            <w:pPr>
              <w:spacing w:before="333" w:line="286" w:lineRule="exact"/>
              <w:ind w:left="360"/>
              <w:textAlignment w:val="baseline"/>
              <w:rPr>
                <w:rFonts w:ascii="Calibri" w:eastAsia="Calibri" w:hAnsi="Calibri"/>
                <w:b/>
                <w:color w:val="000000"/>
                <w:sz w:val="28"/>
              </w:rPr>
            </w:pPr>
            <w:r>
              <w:rPr>
                <w:rFonts w:ascii="Calibri" w:eastAsia="Calibri" w:hAnsi="Calibri"/>
                <w:b/>
                <w:color w:val="000000"/>
                <w:sz w:val="28"/>
              </w:rPr>
              <w:t>Anticoagulant / Antiplatelet</w:t>
            </w:r>
          </w:p>
          <w:p w14:paraId="4A5E4A3C" w14:textId="77777777" w:rsidR="009174EB" w:rsidRDefault="009174EB" w:rsidP="00143161">
            <w:pPr>
              <w:spacing w:before="59" w:after="314" w:line="285" w:lineRule="exact"/>
              <w:ind w:right="1708"/>
              <w:jc w:val="right"/>
              <w:textAlignment w:val="baseline"/>
              <w:rPr>
                <w:rFonts w:ascii="Calibri" w:eastAsia="Calibri" w:hAnsi="Calibri"/>
                <w:b/>
                <w:color w:val="000000"/>
                <w:sz w:val="28"/>
              </w:rPr>
            </w:pPr>
            <w:r>
              <w:rPr>
                <w:rFonts w:ascii="Calibri" w:eastAsia="Calibri" w:hAnsi="Calibri"/>
                <w:b/>
                <w:color w:val="000000"/>
                <w:sz w:val="28"/>
              </w:rPr>
              <w:t>MEDS</w:t>
            </w:r>
          </w:p>
        </w:tc>
        <w:tc>
          <w:tcPr>
            <w:tcW w:w="1439" w:type="dxa"/>
            <w:vMerge w:val="restart"/>
            <w:tcBorders>
              <w:top w:val="single" w:sz="5" w:space="0" w:color="000000"/>
              <w:left w:val="single" w:sz="5" w:space="0" w:color="000000"/>
              <w:bottom w:val="single" w:sz="0" w:space="0" w:color="000000"/>
              <w:right w:val="single" w:sz="5" w:space="0" w:color="000000"/>
            </w:tcBorders>
            <w:shd w:val="clear" w:color="D9D9D9" w:fill="D9D9D9"/>
            <w:vAlign w:val="center"/>
          </w:tcPr>
          <w:p w14:paraId="1E52AD0D" w14:textId="77777777" w:rsidR="009174EB" w:rsidRDefault="009174EB" w:rsidP="00143161">
            <w:pPr>
              <w:spacing w:before="325" w:after="376" w:line="288" w:lineRule="exact"/>
              <w:jc w:val="center"/>
              <w:textAlignment w:val="baseline"/>
              <w:rPr>
                <w:rFonts w:ascii="Calibri" w:eastAsia="Calibri" w:hAnsi="Calibri"/>
                <w:b/>
                <w:color w:val="000000"/>
              </w:rPr>
            </w:pPr>
            <w:r>
              <w:rPr>
                <w:rFonts w:ascii="Calibri" w:eastAsia="Calibri" w:hAnsi="Calibri"/>
                <w:b/>
                <w:color w:val="000000"/>
              </w:rPr>
              <w:t xml:space="preserve">Discontinue </w:t>
            </w:r>
            <w:r>
              <w:rPr>
                <w:rFonts w:ascii="Calibri" w:eastAsia="Calibri" w:hAnsi="Calibri"/>
                <w:b/>
                <w:color w:val="000000"/>
              </w:rPr>
              <w:br/>
            </w:r>
            <w:r>
              <w:rPr>
                <w:rFonts w:ascii="Calibri" w:eastAsia="Calibri" w:hAnsi="Calibri"/>
                <w:b/>
                <w:color w:val="000000"/>
                <w:sz w:val="24"/>
              </w:rPr>
              <w:t>Yes* / No</w:t>
            </w:r>
          </w:p>
        </w:tc>
        <w:tc>
          <w:tcPr>
            <w:tcW w:w="1986" w:type="dxa"/>
            <w:vMerge w:val="restart"/>
            <w:tcBorders>
              <w:top w:val="single" w:sz="5" w:space="0" w:color="000000"/>
              <w:left w:val="single" w:sz="5" w:space="0" w:color="000000"/>
              <w:bottom w:val="single" w:sz="0" w:space="0" w:color="000000"/>
              <w:right w:val="single" w:sz="5" w:space="0" w:color="000000"/>
            </w:tcBorders>
            <w:shd w:val="clear" w:color="D9D9D9" w:fill="D9D9D9"/>
          </w:tcPr>
          <w:p w14:paraId="116D7078" w14:textId="77777777" w:rsidR="009174EB" w:rsidRDefault="009174EB" w:rsidP="009174EB">
            <w:pPr>
              <w:spacing w:before="5" w:after="64" w:line="245" w:lineRule="exact"/>
              <w:textAlignment w:val="baseline"/>
              <w:rPr>
                <w:rFonts w:ascii="Calibri" w:eastAsia="Calibri" w:hAnsi="Calibri"/>
                <w:b/>
                <w:color w:val="000000"/>
                <w:sz w:val="28"/>
              </w:rPr>
            </w:pPr>
          </w:p>
          <w:p w14:paraId="3CF39CA0" w14:textId="72E334CC" w:rsidR="009174EB" w:rsidRDefault="009174EB" w:rsidP="00143161">
            <w:pPr>
              <w:spacing w:before="5" w:after="64" w:line="245" w:lineRule="exact"/>
              <w:jc w:val="center"/>
              <w:textAlignment w:val="baseline"/>
              <w:rPr>
                <w:rFonts w:ascii="Calibri" w:eastAsia="Calibri" w:hAnsi="Calibri"/>
                <w:b/>
                <w:color w:val="538DD3"/>
                <w:sz w:val="20"/>
              </w:rPr>
            </w:pPr>
            <w:r>
              <w:rPr>
                <w:rFonts w:ascii="Calibri" w:eastAsia="Calibri" w:hAnsi="Calibri"/>
                <w:b/>
                <w:color w:val="000000"/>
                <w:sz w:val="28"/>
              </w:rPr>
              <w:t>Comment</w:t>
            </w:r>
          </w:p>
        </w:tc>
      </w:tr>
      <w:tr w:rsidR="009174EB" w14:paraId="54E08CA8" w14:textId="77777777" w:rsidTr="009174EB">
        <w:trPr>
          <w:trHeight w:hRule="exact" w:val="845"/>
        </w:trPr>
        <w:tc>
          <w:tcPr>
            <w:tcW w:w="264" w:type="dxa"/>
            <w:vMerge/>
            <w:tcBorders>
              <w:top w:val="single" w:sz="0" w:space="0" w:color="000000"/>
              <w:left w:val="single" w:sz="5" w:space="0" w:color="000000"/>
              <w:bottom w:val="single" w:sz="0" w:space="0" w:color="000000"/>
              <w:right w:val="single" w:sz="5" w:space="0" w:color="000000"/>
            </w:tcBorders>
            <w:shd w:val="clear" w:color="92D050" w:fill="92D050"/>
          </w:tcPr>
          <w:p w14:paraId="083939B3" w14:textId="77777777" w:rsidR="009174EB" w:rsidRDefault="009174EB" w:rsidP="00143161"/>
        </w:tc>
        <w:tc>
          <w:tcPr>
            <w:tcW w:w="3064" w:type="dxa"/>
            <w:gridSpan w:val="2"/>
            <w:tcBorders>
              <w:top w:val="single" w:sz="5" w:space="0" w:color="000000"/>
              <w:left w:val="single" w:sz="5" w:space="0" w:color="000000"/>
              <w:bottom w:val="single" w:sz="5" w:space="0" w:color="000000"/>
              <w:right w:val="single" w:sz="5" w:space="0" w:color="000000"/>
            </w:tcBorders>
            <w:shd w:val="clear" w:color="CCFFCC" w:fill="CCFFCC"/>
          </w:tcPr>
          <w:p w14:paraId="16673DE7" w14:textId="5302771C" w:rsidR="009174EB" w:rsidRDefault="009174EB" w:rsidP="00143161">
            <w:pPr>
              <w:spacing w:before="39" w:after="288" w:line="254" w:lineRule="exact"/>
              <w:ind w:left="144" w:right="756"/>
              <w:textAlignment w:val="baseline"/>
              <w:rPr>
                <w:rFonts w:ascii="Calibri" w:eastAsia="Calibri" w:hAnsi="Calibri"/>
                <w:color w:val="000000"/>
                <w:sz w:val="19"/>
              </w:rPr>
            </w:pPr>
            <w:r>
              <w:rPr>
                <w:rFonts w:ascii="Calibri" w:eastAsia="Calibri" w:hAnsi="Calibri"/>
                <w:color w:val="000000"/>
                <w:sz w:val="19"/>
              </w:rPr>
              <w:t xml:space="preserve">Confirm </w:t>
            </w:r>
            <w:r>
              <w:rPr>
                <w:rFonts w:ascii="Calibri" w:eastAsia="Calibri" w:hAnsi="Calibri"/>
                <w:color w:val="000000"/>
                <w:sz w:val="18"/>
              </w:rPr>
              <w:t xml:space="preserve">INR </w:t>
            </w:r>
            <w:r w:rsidRPr="009174EB">
              <w:rPr>
                <w:rFonts w:ascii="Calibri" w:eastAsia="Calibri" w:hAnsi="Calibri"/>
                <w:color w:val="000000"/>
                <w:sz w:val="19"/>
              </w:rPr>
              <w:t>≤3.0</w:t>
            </w:r>
            <w:r>
              <w:rPr>
                <w:rFonts w:ascii="Calibri" w:eastAsia="Calibri" w:hAnsi="Calibri"/>
                <w:color w:val="000000"/>
                <w:sz w:val="19"/>
              </w:rPr>
              <w:t xml:space="preserve"> if known or suspected liver disease</w:t>
            </w:r>
          </w:p>
        </w:tc>
        <w:tc>
          <w:tcPr>
            <w:tcW w:w="32" w:type="dxa"/>
            <w:vMerge/>
            <w:tcBorders>
              <w:top w:val="single" w:sz="0" w:space="0" w:color="000000"/>
              <w:left w:val="single" w:sz="5" w:space="0" w:color="000000"/>
              <w:bottom w:val="single" w:sz="0" w:space="0" w:color="000000"/>
              <w:right w:val="single" w:sz="5" w:space="0" w:color="000000"/>
            </w:tcBorders>
            <w:shd w:val="clear" w:color="92D050" w:fill="92D050"/>
          </w:tcPr>
          <w:p w14:paraId="11BE9166" w14:textId="77777777" w:rsidR="009174EB" w:rsidRDefault="009174EB" w:rsidP="00143161"/>
        </w:tc>
        <w:tc>
          <w:tcPr>
            <w:tcW w:w="4110"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14:paraId="56DCBEA9" w14:textId="77777777" w:rsidR="009174EB" w:rsidRDefault="009174EB" w:rsidP="00143161"/>
        </w:tc>
        <w:tc>
          <w:tcPr>
            <w:tcW w:w="1439" w:type="dxa"/>
            <w:vMerge/>
            <w:tcBorders>
              <w:top w:val="single" w:sz="0" w:space="0" w:color="000000"/>
              <w:left w:val="single" w:sz="5" w:space="0" w:color="000000"/>
              <w:bottom w:val="single" w:sz="0" w:space="0" w:color="000000"/>
              <w:right w:val="single" w:sz="5" w:space="0" w:color="000000"/>
            </w:tcBorders>
            <w:shd w:val="clear" w:color="D9D9D9" w:fill="D9D9D9"/>
            <w:vAlign w:val="center"/>
          </w:tcPr>
          <w:p w14:paraId="6D8B339B" w14:textId="77777777" w:rsidR="009174EB" w:rsidRDefault="009174EB" w:rsidP="00143161"/>
        </w:tc>
        <w:tc>
          <w:tcPr>
            <w:tcW w:w="1986" w:type="dxa"/>
            <w:vMerge/>
            <w:tcBorders>
              <w:top w:val="single" w:sz="0" w:space="0" w:color="000000"/>
              <w:left w:val="single" w:sz="5" w:space="0" w:color="000000"/>
              <w:bottom w:val="single" w:sz="0" w:space="0" w:color="000000"/>
              <w:right w:val="single" w:sz="5" w:space="0" w:color="000000"/>
            </w:tcBorders>
            <w:shd w:val="clear" w:color="D9D9D9" w:fill="D9D9D9"/>
          </w:tcPr>
          <w:p w14:paraId="2A172483" w14:textId="77777777" w:rsidR="009174EB" w:rsidRDefault="009174EB" w:rsidP="00143161"/>
        </w:tc>
      </w:tr>
      <w:tr w:rsidR="009174EB" w14:paraId="78BB6973" w14:textId="77777777" w:rsidTr="009174EB">
        <w:trPr>
          <w:trHeight w:hRule="exact" w:val="139"/>
        </w:trPr>
        <w:tc>
          <w:tcPr>
            <w:tcW w:w="264" w:type="dxa"/>
            <w:vMerge/>
            <w:tcBorders>
              <w:top w:val="single" w:sz="0" w:space="0" w:color="000000"/>
              <w:left w:val="single" w:sz="5" w:space="0" w:color="000000"/>
              <w:bottom w:val="single" w:sz="5" w:space="0" w:color="000000"/>
              <w:right w:val="none" w:sz="0" w:space="0" w:color="000000"/>
            </w:tcBorders>
            <w:shd w:val="clear" w:color="92D050" w:fill="92D050"/>
          </w:tcPr>
          <w:p w14:paraId="4580E56B" w14:textId="77777777" w:rsidR="009174EB" w:rsidRDefault="009174EB" w:rsidP="00143161"/>
        </w:tc>
        <w:tc>
          <w:tcPr>
            <w:tcW w:w="3064" w:type="dxa"/>
            <w:gridSpan w:val="2"/>
            <w:tcBorders>
              <w:top w:val="single" w:sz="5" w:space="0" w:color="000000"/>
              <w:left w:val="none" w:sz="0" w:space="0" w:color="000000"/>
              <w:bottom w:val="single" w:sz="5" w:space="0" w:color="000000"/>
              <w:right w:val="none" w:sz="0" w:space="0" w:color="000000"/>
            </w:tcBorders>
            <w:shd w:val="clear" w:color="92D050" w:fill="92D050"/>
          </w:tcPr>
          <w:p w14:paraId="7CEE1248" w14:textId="77777777" w:rsidR="009174EB" w:rsidRDefault="009174EB" w:rsidP="00143161">
            <w:pPr>
              <w:textAlignment w:val="baseline"/>
              <w:rPr>
                <w:rFonts w:ascii="Calibri" w:eastAsia="Calibri" w:hAnsi="Calibri"/>
                <w:color w:val="000000"/>
                <w:sz w:val="24"/>
              </w:rPr>
            </w:pPr>
            <w:r>
              <w:rPr>
                <w:rFonts w:ascii="Calibri" w:eastAsia="Calibri" w:hAnsi="Calibri"/>
                <w:color w:val="000000"/>
                <w:sz w:val="24"/>
              </w:rPr>
              <w:t xml:space="preserve"> </w:t>
            </w:r>
          </w:p>
        </w:tc>
        <w:tc>
          <w:tcPr>
            <w:tcW w:w="32" w:type="dxa"/>
            <w:vMerge/>
            <w:tcBorders>
              <w:top w:val="single" w:sz="0" w:space="0" w:color="000000"/>
              <w:left w:val="none" w:sz="0" w:space="0" w:color="000000"/>
              <w:bottom w:val="single" w:sz="5" w:space="0" w:color="000000"/>
              <w:right w:val="single" w:sz="5" w:space="0" w:color="000000"/>
            </w:tcBorders>
            <w:shd w:val="clear" w:color="92D050" w:fill="92D050"/>
          </w:tcPr>
          <w:p w14:paraId="5440613F" w14:textId="77777777" w:rsidR="009174EB" w:rsidRDefault="009174EB" w:rsidP="00143161"/>
        </w:tc>
        <w:tc>
          <w:tcPr>
            <w:tcW w:w="4110"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44DF88ED" w14:textId="77777777" w:rsidR="009174EB" w:rsidRDefault="009174EB" w:rsidP="00143161"/>
        </w:tc>
        <w:tc>
          <w:tcPr>
            <w:tcW w:w="1439" w:type="dxa"/>
            <w:vMerge/>
            <w:tcBorders>
              <w:top w:val="single" w:sz="0" w:space="0" w:color="000000"/>
              <w:left w:val="single" w:sz="5" w:space="0" w:color="000000"/>
              <w:bottom w:val="single" w:sz="5" w:space="0" w:color="000000"/>
              <w:right w:val="single" w:sz="5" w:space="0" w:color="000000"/>
            </w:tcBorders>
            <w:shd w:val="clear" w:color="D9D9D9" w:fill="D9D9D9"/>
            <w:vAlign w:val="center"/>
          </w:tcPr>
          <w:p w14:paraId="4E94BA2C" w14:textId="77777777" w:rsidR="009174EB" w:rsidRDefault="009174EB" w:rsidP="00143161"/>
        </w:tc>
        <w:tc>
          <w:tcPr>
            <w:tcW w:w="1986" w:type="dxa"/>
            <w:vMerge/>
            <w:tcBorders>
              <w:top w:val="single" w:sz="0" w:space="0" w:color="000000"/>
              <w:left w:val="single" w:sz="5" w:space="0" w:color="000000"/>
              <w:bottom w:val="single" w:sz="5" w:space="0" w:color="000000"/>
              <w:right w:val="single" w:sz="5" w:space="0" w:color="000000"/>
            </w:tcBorders>
            <w:shd w:val="clear" w:color="D9D9D9" w:fill="D9D9D9"/>
          </w:tcPr>
          <w:p w14:paraId="1BA7357B" w14:textId="77777777" w:rsidR="009174EB" w:rsidRDefault="009174EB" w:rsidP="00143161"/>
        </w:tc>
      </w:tr>
      <w:tr w:rsidR="009174EB" w14:paraId="18A4AFC6" w14:textId="77777777" w:rsidTr="009174EB">
        <w:trPr>
          <w:trHeight w:hRule="exact" w:val="729"/>
        </w:trPr>
        <w:tc>
          <w:tcPr>
            <w:tcW w:w="3321" w:type="dxa"/>
            <w:gridSpan w:val="2"/>
            <w:vMerge w:val="restart"/>
            <w:tcBorders>
              <w:top w:val="single" w:sz="5" w:space="0" w:color="000000"/>
              <w:left w:val="single" w:sz="5" w:space="0" w:color="000000"/>
              <w:bottom w:val="single" w:sz="0" w:space="0" w:color="000000"/>
              <w:right w:val="single" w:sz="5" w:space="0" w:color="000000"/>
            </w:tcBorders>
            <w:shd w:val="clear" w:color="92D050" w:fill="92D050"/>
          </w:tcPr>
          <w:p w14:paraId="48C962B4" w14:textId="77777777" w:rsidR="009174EB" w:rsidRDefault="009174EB" w:rsidP="00143161">
            <w:pPr>
              <w:tabs>
                <w:tab w:val="left" w:pos="360"/>
                <w:tab w:val="left" w:pos="648"/>
              </w:tabs>
              <w:spacing w:before="41" w:line="213" w:lineRule="exact"/>
              <w:textAlignment w:val="baseline"/>
              <w:rPr>
                <w:rFonts w:ascii="Calibri" w:eastAsia="Calibri" w:hAnsi="Calibri"/>
                <w:color w:val="000000"/>
                <w:sz w:val="20"/>
              </w:rPr>
            </w:pPr>
          </w:p>
          <w:p w14:paraId="70DC6C07" w14:textId="77777777" w:rsidR="009174EB" w:rsidRDefault="009174EB" w:rsidP="00143161">
            <w:pPr>
              <w:spacing w:before="530" w:line="292" w:lineRule="exact"/>
              <w:ind w:left="144"/>
              <w:textAlignment w:val="baseline"/>
              <w:rPr>
                <w:rFonts w:ascii="Calibri" w:eastAsia="Calibri" w:hAnsi="Calibri"/>
                <w:b/>
                <w:color w:val="000000"/>
                <w:sz w:val="24"/>
              </w:rPr>
            </w:pPr>
            <w:r>
              <w:rPr>
                <w:rFonts w:ascii="Calibri" w:eastAsia="Calibri" w:hAnsi="Calibri"/>
                <w:b/>
                <w:color w:val="000000"/>
                <w:sz w:val="24"/>
              </w:rPr>
              <w:t xml:space="preserve">Superficial Breast Aspiration / Breast Biopsy </w:t>
            </w:r>
          </w:p>
          <w:p w14:paraId="5329442C" w14:textId="77777777" w:rsidR="009174EB" w:rsidRPr="00E45B76" w:rsidRDefault="009174EB" w:rsidP="00143161">
            <w:pPr>
              <w:tabs>
                <w:tab w:val="left" w:pos="648"/>
              </w:tabs>
              <w:spacing w:before="45" w:line="211" w:lineRule="exact"/>
              <w:ind w:left="648"/>
              <w:textAlignment w:val="baseline"/>
              <w:rPr>
                <w:rFonts w:ascii="Calibri" w:eastAsia="Calibri" w:hAnsi="Calibri"/>
                <w:color w:val="000000"/>
                <w:sz w:val="20"/>
              </w:rPr>
            </w:pPr>
          </w:p>
        </w:tc>
        <w:tc>
          <w:tcPr>
            <w:tcW w:w="4149" w:type="dxa"/>
            <w:gridSpan w:val="3"/>
            <w:tcBorders>
              <w:top w:val="single" w:sz="5" w:space="0" w:color="000000"/>
              <w:left w:val="single" w:sz="5" w:space="0" w:color="000000"/>
              <w:bottom w:val="single" w:sz="5" w:space="0" w:color="000000"/>
              <w:right w:val="single" w:sz="5" w:space="0" w:color="000000"/>
            </w:tcBorders>
          </w:tcPr>
          <w:p w14:paraId="71294118" w14:textId="77777777" w:rsidR="009174EB" w:rsidRDefault="009174EB" w:rsidP="00143161">
            <w:pPr>
              <w:numPr>
                <w:ilvl w:val="0"/>
                <w:numId w:val="1"/>
              </w:numPr>
              <w:tabs>
                <w:tab w:val="clear" w:pos="360"/>
                <w:tab w:val="left" w:pos="720"/>
              </w:tabs>
              <w:spacing w:before="137" w:line="213" w:lineRule="exact"/>
              <w:ind w:left="360"/>
              <w:textAlignment w:val="baseline"/>
              <w:rPr>
                <w:rFonts w:ascii="Calibri" w:eastAsia="Calibri" w:hAnsi="Calibri"/>
                <w:color w:val="000000"/>
                <w:sz w:val="20"/>
              </w:rPr>
            </w:pPr>
            <w:r>
              <w:rPr>
                <w:rFonts w:ascii="Calibri" w:eastAsia="Calibri" w:hAnsi="Calibri"/>
                <w:color w:val="000000"/>
                <w:sz w:val="20"/>
              </w:rPr>
              <w:t>Aspirin (ASA), any dose</w:t>
            </w:r>
          </w:p>
          <w:p w14:paraId="56B33240" w14:textId="77777777" w:rsidR="009174EB" w:rsidRDefault="009174EB" w:rsidP="00143161">
            <w:pPr>
              <w:numPr>
                <w:ilvl w:val="0"/>
                <w:numId w:val="1"/>
              </w:numPr>
              <w:tabs>
                <w:tab w:val="clear" w:pos="360"/>
                <w:tab w:val="left" w:pos="720"/>
              </w:tabs>
              <w:spacing w:before="41" w:after="110" w:line="214" w:lineRule="exact"/>
              <w:ind w:left="360"/>
              <w:textAlignment w:val="baseline"/>
              <w:rPr>
                <w:rFonts w:ascii="Calibri" w:eastAsia="Calibri" w:hAnsi="Calibri"/>
                <w:color w:val="000000"/>
                <w:sz w:val="20"/>
              </w:rPr>
            </w:pPr>
            <w:r>
              <w:rPr>
                <w:rFonts w:ascii="Calibri" w:eastAsia="Calibri" w:hAnsi="Calibri"/>
                <w:color w:val="000000"/>
                <w:sz w:val="20"/>
              </w:rPr>
              <w:t>Aggrenox®</w:t>
            </w:r>
          </w:p>
        </w:tc>
        <w:tc>
          <w:tcPr>
            <w:tcW w:w="1439" w:type="dxa"/>
            <w:tcBorders>
              <w:top w:val="single" w:sz="5" w:space="0" w:color="000000"/>
              <w:left w:val="single" w:sz="5" w:space="0" w:color="000000"/>
              <w:bottom w:val="single" w:sz="5" w:space="0" w:color="000000"/>
              <w:right w:val="single" w:sz="5" w:space="0" w:color="000000"/>
            </w:tcBorders>
            <w:vAlign w:val="center"/>
          </w:tcPr>
          <w:p w14:paraId="339B96E5" w14:textId="77777777" w:rsidR="009174EB" w:rsidRDefault="009174EB" w:rsidP="00143161">
            <w:pPr>
              <w:spacing w:before="268" w:after="247" w:line="200"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1986" w:type="dxa"/>
            <w:tcBorders>
              <w:top w:val="single" w:sz="5" w:space="0" w:color="000000"/>
              <w:left w:val="single" w:sz="5" w:space="0" w:color="000000"/>
              <w:bottom w:val="single" w:sz="5" w:space="0" w:color="000000"/>
              <w:right w:val="single" w:sz="5" w:space="0" w:color="000000"/>
            </w:tcBorders>
          </w:tcPr>
          <w:p w14:paraId="4643230E" w14:textId="77777777" w:rsidR="009174EB" w:rsidRDefault="009174EB" w:rsidP="00143161">
            <w:pPr>
              <w:textAlignment w:val="baseline"/>
              <w:rPr>
                <w:rFonts w:ascii="Calibri" w:eastAsia="Calibri" w:hAnsi="Calibri"/>
                <w:color w:val="000000"/>
                <w:sz w:val="24"/>
              </w:rPr>
            </w:pPr>
            <w:r>
              <w:rPr>
                <w:rFonts w:ascii="Calibri" w:eastAsia="Calibri" w:hAnsi="Calibri"/>
                <w:color w:val="000000"/>
                <w:sz w:val="24"/>
              </w:rPr>
              <w:t xml:space="preserve"> </w:t>
            </w:r>
          </w:p>
        </w:tc>
      </w:tr>
      <w:tr w:rsidR="009174EB" w14:paraId="34BB9F72" w14:textId="77777777" w:rsidTr="009174EB">
        <w:trPr>
          <w:trHeight w:hRule="exact" w:val="1338"/>
        </w:trPr>
        <w:tc>
          <w:tcPr>
            <w:tcW w:w="3321" w:type="dxa"/>
            <w:gridSpan w:val="2"/>
            <w:vMerge/>
            <w:tcBorders>
              <w:top w:val="single" w:sz="0" w:space="0" w:color="000000"/>
              <w:left w:val="single" w:sz="5" w:space="0" w:color="000000"/>
              <w:bottom w:val="single" w:sz="0" w:space="0" w:color="000000"/>
              <w:right w:val="single" w:sz="5" w:space="0" w:color="000000"/>
            </w:tcBorders>
            <w:shd w:val="clear" w:color="92D050" w:fill="92D050"/>
          </w:tcPr>
          <w:p w14:paraId="00F7F0B0" w14:textId="77777777" w:rsidR="009174EB" w:rsidRDefault="009174EB" w:rsidP="00143161"/>
        </w:tc>
        <w:tc>
          <w:tcPr>
            <w:tcW w:w="4149" w:type="dxa"/>
            <w:gridSpan w:val="3"/>
            <w:tcBorders>
              <w:top w:val="single" w:sz="5" w:space="0" w:color="000000"/>
              <w:left w:val="single" w:sz="5" w:space="0" w:color="000000"/>
              <w:bottom w:val="single" w:sz="5" w:space="0" w:color="000000"/>
              <w:right w:val="single" w:sz="5" w:space="0" w:color="000000"/>
            </w:tcBorders>
          </w:tcPr>
          <w:p w14:paraId="42D9346E" w14:textId="77777777" w:rsidR="009174EB" w:rsidRDefault="009174EB" w:rsidP="00143161">
            <w:pPr>
              <w:numPr>
                <w:ilvl w:val="0"/>
                <w:numId w:val="1"/>
              </w:numPr>
              <w:tabs>
                <w:tab w:val="clear" w:pos="360"/>
                <w:tab w:val="left" w:pos="720"/>
              </w:tabs>
              <w:spacing w:before="214" w:line="214" w:lineRule="exact"/>
              <w:ind w:left="360"/>
              <w:textAlignment w:val="baseline"/>
              <w:rPr>
                <w:rFonts w:ascii="Calibri" w:eastAsia="Calibri" w:hAnsi="Calibri"/>
                <w:color w:val="000000"/>
                <w:sz w:val="20"/>
              </w:rPr>
            </w:pPr>
            <w:r>
              <w:rPr>
                <w:rFonts w:ascii="Calibri" w:eastAsia="Calibri" w:hAnsi="Calibri"/>
                <w:color w:val="000000"/>
                <w:sz w:val="20"/>
              </w:rPr>
              <w:t>Clopidogrel (Plavix®)</w:t>
            </w:r>
          </w:p>
          <w:p w14:paraId="21BD250C" w14:textId="77777777" w:rsidR="009174EB" w:rsidRDefault="009174EB" w:rsidP="00143161">
            <w:pPr>
              <w:numPr>
                <w:ilvl w:val="0"/>
                <w:numId w:val="1"/>
              </w:numPr>
              <w:tabs>
                <w:tab w:val="clear" w:pos="360"/>
                <w:tab w:val="left" w:pos="720"/>
              </w:tabs>
              <w:spacing w:before="41" w:line="213" w:lineRule="exact"/>
              <w:ind w:left="360"/>
              <w:textAlignment w:val="baseline"/>
              <w:rPr>
                <w:rFonts w:ascii="Calibri" w:eastAsia="Calibri" w:hAnsi="Calibri"/>
                <w:color w:val="000000"/>
                <w:sz w:val="20"/>
              </w:rPr>
            </w:pPr>
            <w:r>
              <w:rPr>
                <w:rFonts w:ascii="Calibri" w:eastAsia="Calibri" w:hAnsi="Calibri"/>
                <w:color w:val="000000"/>
                <w:sz w:val="20"/>
              </w:rPr>
              <w:t>Dipyridamole (</w:t>
            </w:r>
            <w:proofErr w:type="spellStart"/>
            <w:r>
              <w:rPr>
                <w:rFonts w:ascii="Calibri" w:eastAsia="Calibri" w:hAnsi="Calibri"/>
                <w:color w:val="000000"/>
                <w:sz w:val="20"/>
              </w:rPr>
              <w:t>Persantine</w:t>
            </w:r>
            <w:proofErr w:type="spellEnd"/>
            <w:r>
              <w:rPr>
                <w:rFonts w:ascii="Calibri" w:eastAsia="Calibri" w:hAnsi="Calibri"/>
                <w:color w:val="000000"/>
                <w:sz w:val="20"/>
              </w:rPr>
              <w:t>®)</w:t>
            </w:r>
          </w:p>
          <w:p w14:paraId="70430E6E" w14:textId="77777777" w:rsidR="009174EB" w:rsidRDefault="009174EB" w:rsidP="00143161">
            <w:pPr>
              <w:numPr>
                <w:ilvl w:val="0"/>
                <w:numId w:val="1"/>
              </w:numPr>
              <w:tabs>
                <w:tab w:val="clear" w:pos="360"/>
                <w:tab w:val="left" w:pos="720"/>
              </w:tabs>
              <w:spacing w:before="46" w:line="213" w:lineRule="exact"/>
              <w:ind w:left="360"/>
              <w:textAlignment w:val="baseline"/>
              <w:rPr>
                <w:rFonts w:ascii="Calibri" w:eastAsia="Calibri" w:hAnsi="Calibri"/>
                <w:color w:val="000000"/>
                <w:sz w:val="20"/>
              </w:rPr>
            </w:pPr>
            <w:r>
              <w:rPr>
                <w:rFonts w:ascii="Calibri" w:eastAsia="Calibri" w:hAnsi="Calibri"/>
                <w:color w:val="000000"/>
                <w:sz w:val="20"/>
              </w:rPr>
              <w:t>Prasugrel (</w:t>
            </w:r>
            <w:proofErr w:type="spellStart"/>
            <w:r>
              <w:rPr>
                <w:rFonts w:ascii="Calibri" w:eastAsia="Calibri" w:hAnsi="Calibri"/>
                <w:color w:val="000000"/>
                <w:sz w:val="20"/>
              </w:rPr>
              <w:t>Effient</w:t>
            </w:r>
            <w:proofErr w:type="spellEnd"/>
            <w:r>
              <w:rPr>
                <w:rFonts w:ascii="Calibri" w:eastAsia="Calibri" w:hAnsi="Calibri"/>
                <w:color w:val="000000"/>
                <w:sz w:val="20"/>
              </w:rPr>
              <w:t>®)</w:t>
            </w:r>
          </w:p>
          <w:p w14:paraId="578D8054" w14:textId="77777777" w:rsidR="009174EB" w:rsidRDefault="009174EB" w:rsidP="00143161">
            <w:pPr>
              <w:numPr>
                <w:ilvl w:val="0"/>
                <w:numId w:val="1"/>
              </w:numPr>
              <w:tabs>
                <w:tab w:val="clear" w:pos="360"/>
                <w:tab w:val="left" w:pos="720"/>
              </w:tabs>
              <w:spacing w:before="41" w:after="186" w:line="214" w:lineRule="exact"/>
              <w:ind w:left="360"/>
              <w:textAlignment w:val="baseline"/>
              <w:rPr>
                <w:rFonts w:ascii="Calibri" w:eastAsia="Calibri" w:hAnsi="Calibri"/>
                <w:color w:val="000000"/>
                <w:sz w:val="20"/>
              </w:rPr>
            </w:pPr>
            <w:r>
              <w:rPr>
                <w:rFonts w:ascii="Calibri" w:eastAsia="Calibri" w:hAnsi="Calibri"/>
                <w:color w:val="000000"/>
                <w:sz w:val="20"/>
              </w:rPr>
              <w:t>Ticlopidine (</w:t>
            </w:r>
            <w:proofErr w:type="spellStart"/>
            <w:r>
              <w:rPr>
                <w:rFonts w:ascii="Calibri" w:eastAsia="Calibri" w:hAnsi="Calibri"/>
                <w:color w:val="000000"/>
                <w:sz w:val="20"/>
              </w:rPr>
              <w:t>Ticlid</w:t>
            </w:r>
            <w:proofErr w:type="spellEnd"/>
            <w:r>
              <w:rPr>
                <w:rFonts w:ascii="Calibri" w:eastAsia="Calibri" w:hAnsi="Calibri"/>
                <w:color w:val="000000"/>
                <w:sz w:val="20"/>
              </w:rPr>
              <w:t>®)</w:t>
            </w:r>
          </w:p>
        </w:tc>
        <w:tc>
          <w:tcPr>
            <w:tcW w:w="1439" w:type="dxa"/>
            <w:tcBorders>
              <w:top w:val="single" w:sz="5" w:space="0" w:color="000000"/>
              <w:left w:val="single" w:sz="5" w:space="0" w:color="000000"/>
              <w:bottom w:val="single" w:sz="5" w:space="0" w:color="000000"/>
              <w:right w:val="single" w:sz="5" w:space="0" w:color="000000"/>
            </w:tcBorders>
            <w:vAlign w:val="center"/>
          </w:tcPr>
          <w:p w14:paraId="6A8105C8" w14:textId="77777777" w:rsidR="009174EB" w:rsidRDefault="009174EB" w:rsidP="00143161">
            <w:pPr>
              <w:spacing w:before="604" w:after="578" w:line="200"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1986" w:type="dxa"/>
            <w:tcBorders>
              <w:top w:val="single" w:sz="5" w:space="0" w:color="000000"/>
              <w:left w:val="single" w:sz="5" w:space="0" w:color="000000"/>
              <w:bottom w:val="single" w:sz="5" w:space="0" w:color="000000"/>
              <w:right w:val="single" w:sz="5" w:space="0" w:color="000000"/>
            </w:tcBorders>
          </w:tcPr>
          <w:p w14:paraId="7413C00D" w14:textId="77777777" w:rsidR="009174EB" w:rsidRDefault="009174EB" w:rsidP="00143161">
            <w:pPr>
              <w:textAlignment w:val="baseline"/>
              <w:rPr>
                <w:rFonts w:ascii="Calibri" w:eastAsia="Calibri" w:hAnsi="Calibri"/>
                <w:color w:val="000000"/>
                <w:sz w:val="24"/>
              </w:rPr>
            </w:pPr>
            <w:r>
              <w:rPr>
                <w:rFonts w:ascii="Calibri" w:eastAsia="Calibri" w:hAnsi="Calibri"/>
                <w:color w:val="000000"/>
                <w:sz w:val="24"/>
              </w:rPr>
              <w:t xml:space="preserve"> </w:t>
            </w:r>
          </w:p>
        </w:tc>
      </w:tr>
      <w:tr w:rsidR="009174EB" w14:paraId="49B9E61E" w14:textId="77777777" w:rsidTr="00404AC8">
        <w:trPr>
          <w:trHeight w:hRule="exact" w:val="984"/>
        </w:trPr>
        <w:tc>
          <w:tcPr>
            <w:tcW w:w="3321" w:type="dxa"/>
            <w:gridSpan w:val="2"/>
            <w:vMerge/>
            <w:tcBorders>
              <w:top w:val="single" w:sz="0" w:space="0" w:color="000000"/>
              <w:left w:val="single" w:sz="5" w:space="0" w:color="000000"/>
              <w:bottom w:val="single" w:sz="0" w:space="0" w:color="000000"/>
              <w:right w:val="single" w:sz="5" w:space="0" w:color="000000"/>
            </w:tcBorders>
            <w:shd w:val="clear" w:color="92D050" w:fill="92D050"/>
          </w:tcPr>
          <w:p w14:paraId="1CE0A179" w14:textId="77777777" w:rsidR="009174EB" w:rsidRDefault="009174EB" w:rsidP="00143161"/>
        </w:tc>
        <w:tc>
          <w:tcPr>
            <w:tcW w:w="4149" w:type="dxa"/>
            <w:gridSpan w:val="3"/>
            <w:tcBorders>
              <w:top w:val="single" w:sz="5" w:space="0" w:color="000000"/>
              <w:left w:val="single" w:sz="5" w:space="0" w:color="000000"/>
              <w:bottom w:val="single" w:sz="5" w:space="0" w:color="000000"/>
              <w:right w:val="single" w:sz="5" w:space="0" w:color="000000"/>
            </w:tcBorders>
          </w:tcPr>
          <w:p w14:paraId="709F5640" w14:textId="77777777" w:rsidR="009174EB" w:rsidRDefault="009174EB" w:rsidP="00143161">
            <w:pPr>
              <w:numPr>
                <w:ilvl w:val="0"/>
                <w:numId w:val="1"/>
              </w:numPr>
              <w:tabs>
                <w:tab w:val="clear" w:pos="360"/>
                <w:tab w:val="left" w:pos="720"/>
              </w:tabs>
              <w:spacing w:before="147" w:after="96" w:line="241" w:lineRule="exact"/>
              <w:ind w:hanging="360"/>
              <w:textAlignment w:val="baseline"/>
              <w:rPr>
                <w:rFonts w:ascii="Calibri" w:eastAsia="Calibri" w:hAnsi="Calibri"/>
                <w:color w:val="000000"/>
                <w:sz w:val="20"/>
              </w:rPr>
            </w:pPr>
            <w:r>
              <w:rPr>
                <w:rFonts w:ascii="Calibri" w:eastAsia="Calibri" w:hAnsi="Calibri"/>
                <w:color w:val="000000"/>
                <w:sz w:val="20"/>
              </w:rPr>
              <w:t xml:space="preserve">Warfarin (Coumadin®) </w:t>
            </w:r>
          </w:p>
          <w:p w14:paraId="2BBCD767" w14:textId="77777777" w:rsidR="009174EB" w:rsidRDefault="009174EB" w:rsidP="00143161">
            <w:pPr>
              <w:tabs>
                <w:tab w:val="left" w:pos="360"/>
                <w:tab w:val="left" w:pos="720"/>
              </w:tabs>
              <w:spacing w:before="147" w:after="96" w:line="241" w:lineRule="exact"/>
              <w:textAlignment w:val="baseline"/>
              <w:rPr>
                <w:rFonts w:ascii="Calibri" w:eastAsia="Calibri" w:hAnsi="Calibri"/>
                <w:color w:val="000000"/>
                <w:sz w:val="20"/>
              </w:rPr>
            </w:pPr>
          </w:p>
          <w:p w14:paraId="06A05187" w14:textId="77777777" w:rsidR="009174EB" w:rsidRDefault="009174EB" w:rsidP="00143161">
            <w:pPr>
              <w:tabs>
                <w:tab w:val="left" w:pos="360"/>
                <w:tab w:val="left" w:pos="720"/>
              </w:tabs>
              <w:spacing w:before="147" w:after="96" w:line="241" w:lineRule="exact"/>
              <w:textAlignment w:val="baseline"/>
              <w:rPr>
                <w:rFonts w:ascii="Calibri" w:eastAsia="Calibri" w:hAnsi="Calibri"/>
                <w:color w:val="000000"/>
                <w:sz w:val="20"/>
              </w:rPr>
            </w:pPr>
            <w:r>
              <w:rPr>
                <w:rFonts w:ascii="Calibri" w:eastAsia="Calibri" w:hAnsi="Calibri"/>
                <w:color w:val="000000"/>
                <w:sz w:val="20"/>
              </w:rPr>
              <w:br/>
            </w:r>
            <w:r>
              <w:rPr>
                <w:rFonts w:ascii="Arial" w:eastAsia="Arial" w:hAnsi="Arial"/>
                <w:b/>
                <w:color w:val="FF0000"/>
                <w:sz w:val="23"/>
              </w:rPr>
              <w:t xml:space="preserve"> </w:t>
            </w:r>
          </w:p>
        </w:tc>
        <w:tc>
          <w:tcPr>
            <w:tcW w:w="1439" w:type="dxa"/>
            <w:tcBorders>
              <w:top w:val="single" w:sz="5" w:space="0" w:color="000000"/>
              <w:left w:val="single" w:sz="5" w:space="0" w:color="000000"/>
              <w:bottom w:val="single" w:sz="5" w:space="0" w:color="000000"/>
              <w:right w:val="single" w:sz="5" w:space="0" w:color="000000"/>
            </w:tcBorders>
            <w:vAlign w:val="center"/>
          </w:tcPr>
          <w:p w14:paraId="4F6469FB" w14:textId="58CD3273" w:rsidR="009174EB" w:rsidRDefault="009174EB" w:rsidP="00143161">
            <w:pPr>
              <w:spacing w:before="273" w:after="252" w:line="200"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1986" w:type="dxa"/>
            <w:tcBorders>
              <w:top w:val="single" w:sz="5" w:space="0" w:color="000000"/>
              <w:left w:val="single" w:sz="5" w:space="0" w:color="000000"/>
              <w:bottom w:val="single" w:sz="5" w:space="0" w:color="000000"/>
              <w:right w:val="single" w:sz="5" w:space="0" w:color="000000"/>
            </w:tcBorders>
            <w:vAlign w:val="center"/>
          </w:tcPr>
          <w:p w14:paraId="1EF8CC14" w14:textId="3FC60B6B" w:rsidR="009174EB" w:rsidRDefault="00404AC8" w:rsidP="00404AC8">
            <w:pPr>
              <w:spacing w:before="273" w:after="249" w:line="203" w:lineRule="exact"/>
              <w:textAlignment w:val="baseline"/>
              <w:rPr>
                <w:rFonts w:ascii="Calibri" w:eastAsia="Calibri" w:hAnsi="Calibri"/>
                <w:color w:val="000000"/>
                <w:sz w:val="20"/>
              </w:rPr>
            </w:pPr>
            <w:r w:rsidRPr="00404AC8">
              <w:rPr>
                <w:rFonts w:ascii="Calibri" w:eastAsia="Calibri" w:hAnsi="Calibri"/>
                <w:color w:val="000000"/>
                <w:sz w:val="20"/>
              </w:rPr>
              <w:t>An INR of 3.0 or below is required to proceed with the biopsy</w:t>
            </w:r>
          </w:p>
        </w:tc>
      </w:tr>
      <w:tr w:rsidR="009174EB" w14:paraId="2C3F1932" w14:textId="77777777" w:rsidTr="009174EB">
        <w:trPr>
          <w:trHeight w:hRule="exact" w:val="552"/>
        </w:trPr>
        <w:tc>
          <w:tcPr>
            <w:tcW w:w="3321" w:type="dxa"/>
            <w:gridSpan w:val="2"/>
            <w:vMerge/>
            <w:tcBorders>
              <w:top w:val="single" w:sz="0" w:space="0" w:color="000000"/>
              <w:left w:val="single" w:sz="5" w:space="0" w:color="000000"/>
              <w:bottom w:val="single" w:sz="0" w:space="0" w:color="000000"/>
              <w:right w:val="single" w:sz="5" w:space="0" w:color="000000"/>
            </w:tcBorders>
            <w:shd w:val="clear" w:color="92D050" w:fill="92D050"/>
          </w:tcPr>
          <w:p w14:paraId="7BBDF858" w14:textId="77777777" w:rsidR="009174EB" w:rsidRDefault="009174EB" w:rsidP="00143161"/>
        </w:tc>
        <w:tc>
          <w:tcPr>
            <w:tcW w:w="4149" w:type="dxa"/>
            <w:gridSpan w:val="3"/>
            <w:tcBorders>
              <w:top w:val="single" w:sz="5" w:space="0" w:color="000000"/>
              <w:left w:val="single" w:sz="5" w:space="0" w:color="000000"/>
              <w:bottom w:val="single" w:sz="5" w:space="0" w:color="000000"/>
              <w:right w:val="single" w:sz="5" w:space="0" w:color="000000"/>
            </w:tcBorders>
            <w:vAlign w:val="center"/>
          </w:tcPr>
          <w:p w14:paraId="41ED33F1" w14:textId="77777777" w:rsidR="009174EB" w:rsidRDefault="009174EB" w:rsidP="00143161">
            <w:pPr>
              <w:numPr>
                <w:ilvl w:val="0"/>
                <w:numId w:val="1"/>
              </w:numPr>
              <w:tabs>
                <w:tab w:val="clear" w:pos="360"/>
                <w:tab w:val="left" w:pos="720"/>
              </w:tabs>
              <w:spacing w:before="180" w:after="148" w:line="214" w:lineRule="exact"/>
              <w:ind w:left="360"/>
              <w:textAlignment w:val="baseline"/>
              <w:rPr>
                <w:rFonts w:ascii="Calibri" w:eastAsia="Calibri" w:hAnsi="Calibri"/>
                <w:color w:val="000000"/>
                <w:sz w:val="20"/>
              </w:rPr>
            </w:pPr>
            <w:r>
              <w:rPr>
                <w:rFonts w:ascii="Calibri" w:eastAsia="Calibri" w:hAnsi="Calibri"/>
                <w:color w:val="000000"/>
                <w:sz w:val="20"/>
              </w:rPr>
              <w:t>Subcutaneous Heparin</w:t>
            </w:r>
          </w:p>
        </w:tc>
        <w:tc>
          <w:tcPr>
            <w:tcW w:w="1439" w:type="dxa"/>
            <w:tcBorders>
              <w:top w:val="single" w:sz="5" w:space="0" w:color="000000"/>
              <w:left w:val="single" w:sz="5" w:space="0" w:color="000000"/>
              <w:bottom w:val="single" w:sz="5" w:space="0" w:color="000000"/>
              <w:right w:val="single" w:sz="5" w:space="0" w:color="000000"/>
            </w:tcBorders>
            <w:vAlign w:val="center"/>
          </w:tcPr>
          <w:p w14:paraId="43EE74A6" w14:textId="73D423EF" w:rsidR="009174EB" w:rsidRDefault="009174EB" w:rsidP="00143161">
            <w:pPr>
              <w:spacing w:before="182" w:after="160" w:line="200"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1986" w:type="dxa"/>
            <w:tcBorders>
              <w:top w:val="single" w:sz="5" w:space="0" w:color="000000"/>
              <w:left w:val="single" w:sz="5" w:space="0" w:color="000000"/>
              <w:bottom w:val="single" w:sz="5" w:space="0" w:color="000000"/>
              <w:right w:val="single" w:sz="5" w:space="0" w:color="000000"/>
            </w:tcBorders>
            <w:vAlign w:val="center"/>
          </w:tcPr>
          <w:p w14:paraId="003FD79C" w14:textId="4F87979D" w:rsidR="009174EB" w:rsidRDefault="009174EB" w:rsidP="00143161">
            <w:pPr>
              <w:spacing w:before="182" w:after="158" w:line="202" w:lineRule="exact"/>
              <w:ind w:left="120"/>
              <w:textAlignment w:val="baseline"/>
              <w:rPr>
                <w:rFonts w:ascii="Calibri" w:eastAsia="Calibri" w:hAnsi="Calibri"/>
                <w:color w:val="000000"/>
                <w:sz w:val="20"/>
              </w:rPr>
            </w:pPr>
          </w:p>
        </w:tc>
      </w:tr>
      <w:tr w:rsidR="009174EB" w14:paraId="3650AE73" w14:textId="77777777" w:rsidTr="009174EB">
        <w:trPr>
          <w:trHeight w:hRule="exact" w:val="1349"/>
        </w:trPr>
        <w:tc>
          <w:tcPr>
            <w:tcW w:w="3321" w:type="dxa"/>
            <w:gridSpan w:val="2"/>
            <w:vMerge/>
            <w:tcBorders>
              <w:top w:val="single" w:sz="0" w:space="0" w:color="000000"/>
              <w:left w:val="single" w:sz="5" w:space="0" w:color="000000"/>
              <w:bottom w:val="single" w:sz="0" w:space="0" w:color="000000"/>
              <w:right w:val="single" w:sz="5" w:space="0" w:color="000000"/>
            </w:tcBorders>
            <w:shd w:val="clear" w:color="92D050" w:fill="92D050"/>
          </w:tcPr>
          <w:p w14:paraId="0BB65C60" w14:textId="77777777" w:rsidR="009174EB" w:rsidRDefault="009174EB" w:rsidP="00143161"/>
        </w:tc>
        <w:tc>
          <w:tcPr>
            <w:tcW w:w="4149" w:type="dxa"/>
            <w:gridSpan w:val="3"/>
            <w:tcBorders>
              <w:top w:val="single" w:sz="5" w:space="0" w:color="000000"/>
              <w:left w:val="single" w:sz="5" w:space="0" w:color="000000"/>
              <w:bottom w:val="single" w:sz="5" w:space="0" w:color="000000"/>
              <w:right w:val="single" w:sz="5" w:space="0" w:color="000000"/>
            </w:tcBorders>
          </w:tcPr>
          <w:p w14:paraId="6E027C21" w14:textId="77777777" w:rsidR="009174EB" w:rsidRDefault="009174EB" w:rsidP="00143161">
            <w:pPr>
              <w:numPr>
                <w:ilvl w:val="0"/>
                <w:numId w:val="1"/>
              </w:numPr>
              <w:tabs>
                <w:tab w:val="clear" w:pos="360"/>
                <w:tab w:val="left" w:pos="720"/>
              </w:tabs>
              <w:spacing w:before="195" w:line="213" w:lineRule="exact"/>
              <w:ind w:left="360"/>
              <w:textAlignment w:val="baseline"/>
              <w:rPr>
                <w:rFonts w:ascii="Calibri" w:eastAsia="Calibri" w:hAnsi="Calibri"/>
                <w:color w:val="000000"/>
                <w:sz w:val="20"/>
              </w:rPr>
            </w:pPr>
            <w:r>
              <w:rPr>
                <w:rFonts w:ascii="Calibri" w:eastAsia="Calibri" w:hAnsi="Calibri"/>
                <w:color w:val="000000"/>
                <w:sz w:val="20"/>
              </w:rPr>
              <w:t>Low Molecular Weight Heparin (LMWH)</w:t>
            </w:r>
          </w:p>
          <w:p w14:paraId="7060F319" w14:textId="77777777" w:rsidR="009174EB" w:rsidRDefault="009174EB" w:rsidP="00143161">
            <w:pPr>
              <w:numPr>
                <w:ilvl w:val="0"/>
                <w:numId w:val="1"/>
              </w:numPr>
              <w:tabs>
                <w:tab w:val="clear" w:pos="360"/>
                <w:tab w:val="left" w:pos="720"/>
              </w:tabs>
              <w:spacing w:before="41" w:line="189" w:lineRule="exact"/>
              <w:ind w:left="360"/>
              <w:textAlignment w:val="baseline"/>
              <w:rPr>
                <w:rFonts w:ascii="Calibri" w:eastAsia="Calibri" w:hAnsi="Calibri"/>
                <w:color w:val="000000"/>
                <w:sz w:val="20"/>
              </w:rPr>
            </w:pPr>
            <w:r>
              <w:rPr>
                <w:rFonts w:ascii="Calibri" w:eastAsia="Calibri" w:hAnsi="Calibri"/>
                <w:color w:val="000000"/>
                <w:sz w:val="20"/>
              </w:rPr>
              <w:t>Enoxaparin (</w:t>
            </w:r>
            <w:proofErr w:type="spellStart"/>
            <w:r>
              <w:rPr>
                <w:rFonts w:ascii="Calibri" w:eastAsia="Calibri" w:hAnsi="Calibri"/>
                <w:color w:val="000000"/>
                <w:sz w:val="20"/>
              </w:rPr>
              <w:t>Lovenox</w:t>
            </w:r>
            <w:proofErr w:type="spellEnd"/>
            <w:r>
              <w:rPr>
                <w:rFonts w:ascii="Calibri" w:eastAsia="Calibri" w:hAnsi="Calibri"/>
                <w:color w:val="000000"/>
                <w:sz w:val="20"/>
              </w:rPr>
              <w:t>®)</w:t>
            </w:r>
          </w:p>
          <w:p w14:paraId="525B02B0" w14:textId="77777777" w:rsidR="009174EB" w:rsidRDefault="009174EB" w:rsidP="00143161">
            <w:pPr>
              <w:numPr>
                <w:ilvl w:val="0"/>
                <w:numId w:val="1"/>
              </w:numPr>
              <w:tabs>
                <w:tab w:val="clear" w:pos="360"/>
                <w:tab w:val="left" w:pos="720"/>
              </w:tabs>
              <w:spacing w:line="279" w:lineRule="exact"/>
              <w:ind w:left="360"/>
              <w:textAlignment w:val="baseline"/>
              <w:rPr>
                <w:rFonts w:ascii="Calibri" w:eastAsia="Calibri" w:hAnsi="Calibri"/>
                <w:color w:val="000000"/>
                <w:sz w:val="20"/>
              </w:rPr>
            </w:pPr>
            <w:proofErr w:type="spellStart"/>
            <w:r>
              <w:rPr>
                <w:rFonts w:ascii="Calibri" w:eastAsia="Calibri" w:hAnsi="Calibri"/>
                <w:color w:val="000000"/>
                <w:sz w:val="20"/>
              </w:rPr>
              <w:t>Dalteparin</w:t>
            </w:r>
            <w:proofErr w:type="spellEnd"/>
            <w:r>
              <w:rPr>
                <w:rFonts w:ascii="Calibri" w:eastAsia="Calibri" w:hAnsi="Calibri"/>
                <w:color w:val="000000"/>
                <w:sz w:val="20"/>
              </w:rPr>
              <w:t xml:space="preserve"> (Fragmin®)</w:t>
            </w:r>
          </w:p>
          <w:p w14:paraId="0882F67A" w14:textId="77777777" w:rsidR="009174EB" w:rsidRDefault="009174EB" w:rsidP="00143161">
            <w:pPr>
              <w:numPr>
                <w:ilvl w:val="0"/>
                <w:numId w:val="1"/>
              </w:numPr>
              <w:tabs>
                <w:tab w:val="clear" w:pos="360"/>
                <w:tab w:val="left" w:pos="720"/>
              </w:tabs>
              <w:spacing w:before="41" w:after="173" w:line="213" w:lineRule="exact"/>
              <w:ind w:left="360"/>
              <w:textAlignment w:val="baseline"/>
              <w:rPr>
                <w:rFonts w:ascii="Calibri" w:eastAsia="Calibri" w:hAnsi="Calibri"/>
                <w:color w:val="000000"/>
                <w:sz w:val="20"/>
              </w:rPr>
            </w:pPr>
            <w:r>
              <w:rPr>
                <w:rFonts w:ascii="Calibri" w:eastAsia="Calibri" w:hAnsi="Calibri"/>
                <w:color w:val="000000"/>
                <w:sz w:val="20"/>
              </w:rPr>
              <w:t>Tinzaparin (</w:t>
            </w:r>
            <w:proofErr w:type="spellStart"/>
            <w:r>
              <w:rPr>
                <w:rFonts w:ascii="Calibri" w:eastAsia="Calibri" w:hAnsi="Calibri"/>
                <w:color w:val="000000"/>
                <w:sz w:val="20"/>
              </w:rPr>
              <w:t>Innohep</w:t>
            </w:r>
            <w:proofErr w:type="spellEnd"/>
            <w:r>
              <w:rPr>
                <w:rFonts w:ascii="Calibri" w:eastAsia="Calibri" w:hAnsi="Calibri"/>
                <w:color w:val="000000"/>
                <w:sz w:val="20"/>
              </w:rPr>
              <w:t>®)</w:t>
            </w:r>
          </w:p>
        </w:tc>
        <w:tc>
          <w:tcPr>
            <w:tcW w:w="1439" w:type="dxa"/>
            <w:tcBorders>
              <w:top w:val="single" w:sz="5" w:space="0" w:color="000000"/>
              <w:left w:val="single" w:sz="5" w:space="0" w:color="000000"/>
              <w:bottom w:val="single" w:sz="5" w:space="0" w:color="000000"/>
              <w:right w:val="single" w:sz="5" w:space="0" w:color="000000"/>
            </w:tcBorders>
            <w:vAlign w:val="center"/>
          </w:tcPr>
          <w:p w14:paraId="23366650" w14:textId="66F9E914" w:rsidR="009174EB" w:rsidRDefault="009174EB" w:rsidP="00143161">
            <w:pPr>
              <w:spacing w:before="580" w:after="564" w:line="200"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1986" w:type="dxa"/>
            <w:tcBorders>
              <w:top w:val="single" w:sz="5" w:space="0" w:color="000000"/>
              <w:left w:val="single" w:sz="5" w:space="0" w:color="000000"/>
              <w:bottom w:val="single" w:sz="5" w:space="0" w:color="000000"/>
              <w:right w:val="single" w:sz="5" w:space="0" w:color="000000"/>
            </w:tcBorders>
            <w:vAlign w:val="center"/>
          </w:tcPr>
          <w:p w14:paraId="06EFBDCA" w14:textId="1FD0453E" w:rsidR="009174EB" w:rsidRDefault="009174EB" w:rsidP="00143161">
            <w:pPr>
              <w:spacing w:before="580" w:after="562" w:line="202" w:lineRule="exact"/>
              <w:ind w:left="120"/>
              <w:textAlignment w:val="baseline"/>
              <w:rPr>
                <w:rFonts w:ascii="Calibri" w:eastAsia="Calibri" w:hAnsi="Calibri"/>
                <w:color w:val="000000"/>
                <w:sz w:val="20"/>
              </w:rPr>
            </w:pPr>
          </w:p>
        </w:tc>
      </w:tr>
      <w:tr w:rsidR="009174EB" w14:paraId="2A1FB0AE" w14:textId="77777777" w:rsidTr="009174EB">
        <w:trPr>
          <w:trHeight w:hRule="exact" w:val="629"/>
        </w:trPr>
        <w:tc>
          <w:tcPr>
            <w:tcW w:w="3321" w:type="dxa"/>
            <w:gridSpan w:val="2"/>
            <w:vMerge/>
            <w:tcBorders>
              <w:top w:val="single" w:sz="0" w:space="0" w:color="000000"/>
              <w:left w:val="single" w:sz="5" w:space="0" w:color="000000"/>
              <w:bottom w:val="single" w:sz="0" w:space="0" w:color="000000"/>
              <w:right w:val="single" w:sz="5" w:space="0" w:color="000000"/>
            </w:tcBorders>
            <w:shd w:val="clear" w:color="92D050" w:fill="92D050"/>
          </w:tcPr>
          <w:p w14:paraId="504130DE" w14:textId="77777777" w:rsidR="009174EB" w:rsidRDefault="009174EB" w:rsidP="00143161"/>
        </w:tc>
        <w:tc>
          <w:tcPr>
            <w:tcW w:w="4149" w:type="dxa"/>
            <w:gridSpan w:val="3"/>
            <w:tcBorders>
              <w:top w:val="single" w:sz="5" w:space="0" w:color="000000"/>
              <w:left w:val="single" w:sz="5" w:space="0" w:color="000000"/>
              <w:bottom w:val="single" w:sz="5" w:space="0" w:color="000000"/>
              <w:right w:val="single" w:sz="5" w:space="0" w:color="000000"/>
            </w:tcBorders>
            <w:vAlign w:val="center"/>
          </w:tcPr>
          <w:p w14:paraId="6FFC8C3D" w14:textId="77777777" w:rsidR="009174EB" w:rsidRDefault="009174EB" w:rsidP="00143161">
            <w:pPr>
              <w:numPr>
                <w:ilvl w:val="0"/>
                <w:numId w:val="1"/>
              </w:numPr>
              <w:tabs>
                <w:tab w:val="clear" w:pos="360"/>
                <w:tab w:val="left" w:pos="720"/>
              </w:tabs>
              <w:spacing w:before="218" w:after="196" w:line="214" w:lineRule="exact"/>
              <w:ind w:left="360"/>
              <w:textAlignment w:val="baseline"/>
              <w:rPr>
                <w:rFonts w:ascii="Calibri" w:eastAsia="Calibri" w:hAnsi="Calibri"/>
                <w:color w:val="000000"/>
                <w:sz w:val="20"/>
              </w:rPr>
            </w:pPr>
            <w:r>
              <w:rPr>
                <w:rFonts w:ascii="Calibri" w:eastAsia="Calibri" w:hAnsi="Calibri"/>
                <w:color w:val="000000"/>
                <w:sz w:val="20"/>
              </w:rPr>
              <w:t>(IV) Unfractionated Heparin</w:t>
            </w:r>
          </w:p>
        </w:tc>
        <w:tc>
          <w:tcPr>
            <w:tcW w:w="1439" w:type="dxa"/>
            <w:tcBorders>
              <w:top w:val="single" w:sz="5" w:space="0" w:color="000000"/>
              <w:left w:val="single" w:sz="5" w:space="0" w:color="000000"/>
              <w:bottom w:val="single" w:sz="5" w:space="0" w:color="000000"/>
              <w:right w:val="single" w:sz="5" w:space="0" w:color="000000"/>
            </w:tcBorders>
            <w:vAlign w:val="center"/>
          </w:tcPr>
          <w:p w14:paraId="469CE6F6" w14:textId="7FC39B42" w:rsidR="009174EB" w:rsidRDefault="009174EB" w:rsidP="00143161">
            <w:pPr>
              <w:spacing w:before="220" w:after="208" w:line="200"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1986" w:type="dxa"/>
            <w:tcBorders>
              <w:top w:val="single" w:sz="5" w:space="0" w:color="000000"/>
              <w:left w:val="single" w:sz="5" w:space="0" w:color="000000"/>
              <w:bottom w:val="single" w:sz="5" w:space="0" w:color="000000"/>
              <w:right w:val="single" w:sz="5" w:space="0" w:color="000000"/>
            </w:tcBorders>
            <w:vAlign w:val="center"/>
          </w:tcPr>
          <w:p w14:paraId="3F8345F5" w14:textId="13FD21E2" w:rsidR="009174EB" w:rsidRDefault="009174EB" w:rsidP="00143161">
            <w:pPr>
              <w:spacing w:before="220" w:after="206" w:line="202" w:lineRule="exact"/>
              <w:ind w:left="120"/>
              <w:textAlignment w:val="baseline"/>
              <w:rPr>
                <w:rFonts w:ascii="Calibri" w:eastAsia="Calibri" w:hAnsi="Calibri"/>
                <w:color w:val="000000"/>
                <w:sz w:val="20"/>
              </w:rPr>
            </w:pPr>
          </w:p>
        </w:tc>
      </w:tr>
      <w:tr w:rsidR="009174EB" w14:paraId="11E044CB" w14:textId="77777777" w:rsidTr="009174EB">
        <w:trPr>
          <w:trHeight w:hRule="exact" w:val="729"/>
        </w:trPr>
        <w:tc>
          <w:tcPr>
            <w:tcW w:w="3321" w:type="dxa"/>
            <w:gridSpan w:val="2"/>
            <w:vMerge/>
            <w:tcBorders>
              <w:top w:val="single" w:sz="0" w:space="0" w:color="000000"/>
              <w:left w:val="single" w:sz="5" w:space="0" w:color="000000"/>
              <w:bottom w:val="single" w:sz="0" w:space="0" w:color="000000"/>
              <w:right w:val="single" w:sz="5" w:space="0" w:color="000000"/>
            </w:tcBorders>
            <w:shd w:val="clear" w:color="92D050" w:fill="92D050"/>
          </w:tcPr>
          <w:p w14:paraId="1CC9D389" w14:textId="77777777" w:rsidR="009174EB" w:rsidRDefault="009174EB" w:rsidP="00143161"/>
        </w:tc>
        <w:tc>
          <w:tcPr>
            <w:tcW w:w="4149" w:type="dxa"/>
            <w:gridSpan w:val="3"/>
            <w:tcBorders>
              <w:top w:val="single" w:sz="5" w:space="0" w:color="000000"/>
              <w:left w:val="single" w:sz="5" w:space="0" w:color="000000"/>
              <w:bottom w:val="single" w:sz="5" w:space="0" w:color="000000"/>
              <w:right w:val="single" w:sz="5" w:space="0" w:color="000000"/>
            </w:tcBorders>
            <w:vAlign w:val="center"/>
          </w:tcPr>
          <w:p w14:paraId="05C4FDD3" w14:textId="77777777" w:rsidR="009174EB" w:rsidRDefault="009174EB" w:rsidP="00143161">
            <w:pPr>
              <w:numPr>
                <w:ilvl w:val="0"/>
                <w:numId w:val="1"/>
              </w:numPr>
              <w:tabs>
                <w:tab w:val="clear" w:pos="360"/>
                <w:tab w:val="left" w:pos="720"/>
              </w:tabs>
              <w:spacing w:before="266" w:after="239" w:line="214" w:lineRule="exact"/>
              <w:ind w:left="360"/>
              <w:textAlignment w:val="baseline"/>
              <w:rPr>
                <w:rFonts w:ascii="Calibri" w:eastAsia="Calibri" w:hAnsi="Calibri"/>
                <w:color w:val="000000"/>
                <w:sz w:val="20"/>
              </w:rPr>
            </w:pPr>
            <w:r>
              <w:rPr>
                <w:rFonts w:ascii="Calibri" w:eastAsia="Calibri" w:hAnsi="Calibri"/>
                <w:color w:val="000000"/>
                <w:sz w:val="20"/>
              </w:rPr>
              <w:t>Dabigatran (Pradaxa®)</w:t>
            </w:r>
          </w:p>
        </w:tc>
        <w:tc>
          <w:tcPr>
            <w:tcW w:w="1439" w:type="dxa"/>
            <w:tcBorders>
              <w:top w:val="single" w:sz="5" w:space="0" w:color="000000"/>
              <w:left w:val="single" w:sz="5" w:space="0" w:color="000000"/>
              <w:bottom w:val="single" w:sz="5" w:space="0" w:color="000000"/>
              <w:right w:val="single" w:sz="5" w:space="0" w:color="000000"/>
            </w:tcBorders>
            <w:vAlign w:val="center"/>
          </w:tcPr>
          <w:p w14:paraId="714A2CF7" w14:textId="34D63930" w:rsidR="009174EB" w:rsidRDefault="009174EB" w:rsidP="00143161">
            <w:pPr>
              <w:spacing w:before="272" w:after="247" w:line="200"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1986" w:type="dxa"/>
            <w:tcBorders>
              <w:top w:val="single" w:sz="5" w:space="0" w:color="000000"/>
              <w:left w:val="single" w:sz="5" w:space="0" w:color="000000"/>
              <w:bottom w:val="single" w:sz="5" w:space="0" w:color="000000"/>
              <w:right w:val="single" w:sz="5" w:space="0" w:color="000000"/>
            </w:tcBorders>
            <w:vAlign w:val="center"/>
          </w:tcPr>
          <w:p w14:paraId="63B0D4CA" w14:textId="7109A414" w:rsidR="009174EB" w:rsidRDefault="009174EB" w:rsidP="00143161">
            <w:pPr>
              <w:spacing w:before="272" w:after="244" w:line="203" w:lineRule="exact"/>
              <w:ind w:left="120"/>
              <w:textAlignment w:val="baseline"/>
              <w:rPr>
                <w:rFonts w:ascii="Calibri" w:eastAsia="Calibri" w:hAnsi="Calibri"/>
                <w:color w:val="000000"/>
                <w:sz w:val="20"/>
              </w:rPr>
            </w:pPr>
          </w:p>
        </w:tc>
      </w:tr>
      <w:tr w:rsidR="009174EB" w14:paraId="152045A3" w14:textId="77777777" w:rsidTr="009174EB">
        <w:trPr>
          <w:trHeight w:hRule="exact" w:val="730"/>
        </w:trPr>
        <w:tc>
          <w:tcPr>
            <w:tcW w:w="3321" w:type="dxa"/>
            <w:gridSpan w:val="2"/>
            <w:vMerge/>
            <w:tcBorders>
              <w:top w:val="single" w:sz="0" w:space="0" w:color="000000"/>
              <w:left w:val="single" w:sz="5" w:space="0" w:color="000000"/>
              <w:bottom w:val="single" w:sz="0" w:space="0" w:color="000000"/>
              <w:right w:val="single" w:sz="5" w:space="0" w:color="000000"/>
            </w:tcBorders>
            <w:shd w:val="clear" w:color="92D050" w:fill="92D050"/>
          </w:tcPr>
          <w:p w14:paraId="63BBD970" w14:textId="77777777" w:rsidR="009174EB" w:rsidRDefault="009174EB" w:rsidP="00143161"/>
        </w:tc>
        <w:tc>
          <w:tcPr>
            <w:tcW w:w="4149" w:type="dxa"/>
            <w:gridSpan w:val="3"/>
            <w:tcBorders>
              <w:top w:val="single" w:sz="5" w:space="0" w:color="000000"/>
              <w:left w:val="single" w:sz="5" w:space="0" w:color="000000"/>
              <w:bottom w:val="single" w:sz="5" w:space="0" w:color="000000"/>
              <w:right w:val="single" w:sz="5" w:space="0" w:color="000000"/>
            </w:tcBorders>
          </w:tcPr>
          <w:p w14:paraId="389198A5" w14:textId="77777777" w:rsidR="009174EB" w:rsidRDefault="009174EB" w:rsidP="00143161">
            <w:pPr>
              <w:numPr>
                <w:ilvl w:val="0"/>
                <w:numId w:val="1"/>
              </w:numPr>
              <w:tabs>
                <w:tab w:val="clear" w:pos="360"/>
                <w:tab w:val="left" w:pos="720"/>
              </w:tabs>
              <w:spacing w:before="142" w:line="211" w:lineRule="exact"/>
              <w:ind w:left="360"/>
              <w:textAlignment w:val="baseline"/>
              <w:rPr>
                <w:rFonts w:ascii="Calibri" w:eastAsia="Calibri" w:hAnsi="Calibri"/>
                <w:color w:val="000000"/>
                <w:sz w:val="20"/>
              </w:rPr>
            </w:pPr>
            <w:r>
              <w:rPr>
                <w:rFonts w:ascii="Calibri" w:eastAsia="Calibri" w:hAnsi="Calibri"/>
                <w:color w:val="000000"/>
                <w:sz w:val="20"/>
              </w:rPr>
              <w:t>Rivaroxaban (Xarelto®)</w:t>
            </w:r>
          </w:p>
          <w:p w14:paraId="4499CE8E" w14:textId="77777777" w:rsidR="009174EB" w:rsidRDefault="009174EB" w:rsidP="00143161">
            <w:pPr>
              <w:numPr>
                <w:ilvl w:val="0"/>
                <w:numId w:val="1"/>
              </w:numPr>
              <w:tabs>
                <w:tab w:val="clear" w:pos="360"/>
                <w:tab w:val="left" w:pos="720"/>
              </w:tabs>
              <w:spacing w:before="43" w:after="115" w:line="214" w:lineRule="exact"/>
              <w:ind w:left="360"/>
              <w:textAlignment w:val="baseline"/>
              <w:rPr>
                <w:rFonts w:ascii="Calibri" w:eastAsia="Calibri" w:hAnsi="Calibri"/>
                <w:color w:val="000000"/>
                <w:sz w:val="20"/>
              </w:rPr>
            </w:pPr>
            <w:r>
              <w:rPr>
                <w:rFonts w:ascii="Calibri" w:eastAsia="Calibri" w:hAnsi="Calibri"/>
                <w:color w:val="000000"/>
                <w:sz w:val="20"/>
              </w:rPr>
              <w:t>Apixaban (Eliquis®)</w:t>
            </w:r>
          </w:p>
        </w:tc>
        <w:tc>
          <w:tcPr>
            <w:tcW w:w="1439" w:type="dxa"/>
            <w:tcBorders>
              <w:top w:val="single" w:sz="5" w:space="0" w:color="000000"/>
              <w:left w:val="single" w:sz="5" w:space="0" w:color="000000"/>
              <w:bottom w:val="single" w:sz="5" w:space="0" w:color="000000"/>
              <w:right w:val="single" w:sz="5" w:space="0" w:color="000000"/>
            </w:tcBorders>
            <w:vAlign w:val="center"/>
          </w:tcPr>
          <w:p w14:paraId="5B95E48B" w14:textId="611678A3" w:rsidR="009174EB" w:rsidRDefault="00404AC8" w:rsidP="00143161">
            <w:pPr>
              <w:spacing w:before="273" w:after="252" w:line="200"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1986" w:type="dxa"/>
            <w:tcBorders>
              <w:top w:val="single" w:sz="5" w:space="0" w:color="000000"/>
              <w:left w:val="single" w:sz="5" w:space="0" w:color="000000"/>
              <w:bottom w:val="single" w:sz="5" w:space="0" w:color="000000"/>
              <w:right w:val="single" w:sz="5" w:space="0" w:color="000000"/>
            </w:tcBorders>
            <w:vAlign w:val="center"/>
          </w:tcPr>
          <w:p w14:paraId="24420E03" w14:textId="19E89053" w:rsidR="009174EB" w:rsidRDefault="009174EB" w:rsidP="00143161">
            <w:pPr>
              <w:spacing w:before="273" w:after="250" w:line="202" w:lineRule="exact"/>
              <w:ind w:left="120"/>
              <w:textAlignment w:val="baseline"/>
              <w:rPr>
                <w:rFonts w:ascii="Calibri" w:eastAsia="Calibri" w:hAnsi="Calibri"/>
                <w:color w:val="000000"/>
                <w:sz w:val="20"/>
              </w:rPr>
            </w:pPr>
          </w:p>
        </w:tc>
      </w:tr>
      <w:tr w:rsidR="009174EB" w14:paraId="04317FDF" w14:textId="77777777" w:rsidTr="009174EB">
        <w:trPr>
          <w:trHeight w:hRule="exact" w:val="739"/>
        </w:trPr>
        <w:tc>
          <w:tcPr>
            <w:tcW w:w="3321" w:type="dxa"/>
            <w:gridSpan w:val="2"/>
            <w:vMerge/>
            <w:tcBorders>
              <w:top w:val="single" w:sz="0" w:space="0" w:color="000000"/>
              <w:left w:val="single" w:sz="5" w:space="0" w:color="000000"/>
              <w:bottom w:val="single" w:sz="5" w:space="0" w:color="000000"/>
              <w:right w:val="single" w:sz="5" w:space="0" w:color="000000"/>
            </w:tcBorders>
            <w:shd w:val="clear" w:color="92D050" w:fill="92D050"/>
          </w:tcPr>
          <w:p w14:paraId="121C28B4" w14:textId="77777777" w:rsidR="009174EB" w:rsidRDefault="009174EB" w:rsidP="00143161"/>
        </w:tc>
        <w:tc>
          <w:tcPr>
            <w:tcW w:w="4149" w:type="dxa"/>
            <w:gridSpan w:val="3"/>
            <w:tcBorders>
              <w:top w:val="single" w:sz="5" w:space="0" w:color="000000"/>
              <w:left w:val="single" w:sz="5" w:space="0" w:color="000000"/>
              <w:bottom w:val="single" w:sz="5" w:space="0" w:color="000000"/>
              <w:right w:val="single" w:sz="5" w:space="0" w:color="000000"/>
            </w:tcBorders>
            <w:vAlign w:val="center"/>
          </w:tcPr>
          <w:p w14:paraId="5D52347E" w14:textId="77777777" w:rsidR="009174EB" w:rsidRDefault="009174EB" w:rsidP="00143161">
            <w:pPr>
              <w:numPr>
                <w:ilvl w:val="0"/>
                <w:numId w:val="1"/>
              </w:numPr>
              <w:tabs>
                <w:tab w:val="clear" w:pos="360"/>
                <w:tab w:val="left" w:pos="720"/>
              </w:tabs>
              <w:spacing w:before="266" w:after="249" w:line="214" w:lineRule="exact"/>
              <w:ind w:left="360"/>
              <w:textAlignment w:val="baseline"/>
              <w:rPr>
                <w:rFonts w:ascii="Calibri" w:eastAsia="Calibri" w:hAnsi="Calibri"/>
                <w:color w:val="000000"/>
                <w:sz w:val="20"/>
              </w:rPr>
            </w:pPr>
            <w:r>
              <w:rPr>
                <w:rFonts w:ascii="Calibri" w:eastAsia="Calibri" w:hAnsi="Calibri"/>
                <w:color w:val="000000"/>
                <w:sz w:val="20"/>
              </w:rPr>
              <w:t>Fondaparinux (</w:t>
            </w:r>
            <w:proofErr w:type="spellStart"/>
            <w:r>
              <w:rPr>
                <w:rFonts w:ascii="Calibri" w:eastAsia="Calibri" w:hAnsi="Calibri"/>
                <w:color w:val="000000"/>
                <w:sz w:val="20"/>
              </w:rPr>
              <w:t>Arixtra</w:t>
            </w:r>
            <w:proofErr w:type="spellEnd"/>
            <w:r>
              <w:rPr>
                <w:rFonts w:ascii="Calibri" w:eastAsia="Calibri" w:hAnsi="Calibri"/>
                <w:color w:val="000000"/>
                <w:sz w:val="20"/>
              </w:rPr>
              <w:t>®)</w:t>
            </w:r>
          </w:p>
        </w:tc>
        <w:tc>
          <w:tcPr>
            <w:tcW w:w="1439" w:type="dxa"/>
            <w:tcBorders>
              <w:top w:val="single" w:sz="5" w:space="0" w:color="000000"/>
              <w:left w:val="single" w:sz="5" w:space="0" w:color="000000"/>
              <w:bottom w:val="single" w:sz="5" w:space="0" w:color="000000"/>
              <w:right w:val="single" w:sz="5" w:space="0" w:color="000000"/>
            </w:tcBorders>
            <w:vAlign w:val="center"/>
          </w:tcPr>
          <w:p w14:paraId="35B49AF8" w14:textId="16C4CFE8" w:rsidR="009174EB" w:rsidRDefault="009174EB" w:rsidP="00143161">
            <w:pPr>
              <w:spacing w:before="273" w:after="256" w:line="200"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1986" w:type="dxa"/>
            <w:tcBorders>
              <w:top w:val="single" w:sz="5" w:space="0" w:color="000000"/>
              <w:left w:val="single" w:sz="5" w:space="0" w:color="000000"/>
              <w:bottom w:val="single" w:sz="5" w:space="0" w:color="000000"/>
              <w:right w:val="single" w:sz="5" w:space="0" w:color="000000"/>
            </w:tcBorders>
            <w:vAlign w:val="center"/>
          </w:tcPr>
          <w:p w14:paraId="1D52952C" w14:textId="09F579C7" w:rsidR="009174EB" w:rsidRDefault="009174EB" w:rsidP="00143161">
            <w:pPr>
              <w:spacing w:before="273" w:after="254" w:line="202" w:lineRule="exact"/>
              <w:ind w:left="120"/>
              <w:textAlignment w:val="baseline"/>
              <w:rPr>
                <w:rFonts w:ascii="Calibri" w:eastAsia="Calibri" w:hAnsi="Calibri"/>
                <w:color w:val="000000"/>
                <w:sz w:val="20"/>
              </w:rPr>
            </w:pPr>
          </w:p>
        </w:tc>
      </w:tr>
    </w:tbl>
    <w:p w14:paraId="7C1ED693" w14:textId="77777777" w:rsidR="009174EB" w:rsidRPr="009174EB" w:rsidRDefault="009174EB" w:rsidP="009174EB">
      <w:pPr>
        <w:spacing w:before="60" w:after="120"/>
        <w:rPr>
          <w:rFonts w:cstheme="minorHAnsi"/>
          <w:bCs/>
          <w:sz w:val="24"/>
          <w:szCs w:val="24"/>
        </w:rPr>
      </w:pPr>
    </w:p>
    <w:p w14:paraId="4DEF790D" w14:textId="77777777" w:rsidR="00621D18" w:rsidRDefault="00621D18" w:rsidP="00C860EE">
      <w:pPr>
        <w:pStyle w:val="ListParagraph"/>
        <w:ind w:left="1440"/>
        <w:rPr>
          <w:rFonts w:cstheme="minorHAnsi"/>
          <w:b/>
          <w:sz w:val="20"/>
          <w:szCs w:val="20"/>
        </w:rPr>
      </w:pPr>
    </w:p>
    <w:p w14:paraId="66B45F2F" w14:textId="77777777" w:rsidR="00621D18" w:rsidRDefault="00621D18" w:rsidP="00621D18">
      <w:pPr>
        <w:pStyle w:val="ListParagraph"/>
        <w:ind w:left="1440"/>
        <w:rPr>
          <w:rFonts w:cstheme="minorHAnsi"/>
          <w:b/>
          <w:sz w:val="20"/>
          <w:szCs w:val="20"/>
        </w:rPr>
      </w:pPr>
    </w:p>
    <w:p w14:paraId="7B7D1C36" w14:textId="77777777" w:rsidR="00784DA3" w:rsidRDefault="00784DA3" w:rsidP="00621D18">
      <w:pPr>
        <w:pStyle w:val="ListParagraph"/>
        <w:ind w:left="1440"/>
        <w:rPr>
          <w:rFonts w:cstheme="minorHAnsi"/>
          <w:b/>
          <w:sz w:val="20"/>
          <w:szCs w:val="20"/>
        </w:rPr>
      </w:pPr>
    </w:p>
    <w:sectPr w:rsidR="00784DA3" w:rsidSect="005E2E8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5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4B91" w14:textId="77777777" w:rsidR="00C65E21" w:rsidRDefault="00C65E21" w:rsidP="00C76C79">
      <w:r>
        <w:separator/>
      </w:r>
    </w:p>
  </w:endnote>
  <w:endnote w:type="continuationSeparator" w:id="0">
    <w:p w14:paraId="1F67439E" w14:textId="77777777" w:rsidR="00C65E21" w:rsidRDefault="00C65E21" w:rsidP="00C7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0870" w14:textId="77777777" w:rsidR="00AC6F7C" w:rsidRDefault="00AC6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D653" w14:textId="1F68809A" w:rsidR="00C76C79" w:rsidRDefault="00AC6F7C">
    <w:pPr>
      <w:pStyle w:val="Footer"/>
    </w:pPr>
    <w:r>
      <w:t>3/6/2026</w:t>
    </w:r>
    <w:r w:rsidR="00C76C7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BA82" w14:textId="77777777" w:rsidR="00AC6F7C" w:rsidRDefault="00AC6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FC2F" w14:textId="77777777" w:rsidR="00C65E21" w:rsidRDefault="00C65E21" w:rsidP="00C76C79">
      <w:r>
        <w:separator/>
      </w:r>
    </w:p>
  </w:footnote>
  <w:footnote w:type="continuationSeparator" w:id="0">
    <w:p w14:paraId="565EB701" w14:textId="77777777" w:rsidR="00C65E21" w:rsidRDefault="00C65E21" w:rsidP="00C76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2768" w14:textId="77777777" w:rsidR="00AC6F7C" w:rsidRDefault="00AC6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192" w14:textId="77777777" w:rsidR="00DB2051" w:rsidRPr="00DB2051" w:rsidRDefault="00DB2051" w:rsidP="00DB2051">
    <w:pPr>
      <w:jc w:val="center"/>
      <w:rPr>
        <w:rFonts w:asciiTheme="minorHAnsi" w:hAnsiTheme="minorHAnsi" w:cstheme="minorHAnsi"/>
        <w:b/>
        <w:u w:val="single"/>
      </w:rPr>
    </w:pPr>
    <w:r w:rsidRPr="00DB2051">
      <w:rPr>
        <w:rFonts w:asciiTheme="minorHAnsi" w:hAnsiTheme="minorHAnsi" w:cstheme="minorHAnsi"/>
        <w:b/>
        <w:u w:val="single"/>
      </w:rPr>
      <w:t>PRE-PROCEDURE EVALUATION FOR ANTI COAGULANTS PRIOR TO MINIMALLY INVASIVE BREAST PROCEDURES</w:t>
    </w:r>
  </w:p>
  <w:p w14:paraId="6E3F205C" w14:textId="77777777" w:rsidR="00C76C79" w:rsidRDefault="00C76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D03A" w14:textId="77777777" w:rsidR="00AC6F7C" w:rsidRDefault="00AC6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0ED2"/>
    <w:multiLevelType w:val="multilevel"/>
    <w:tmpl w:val="994A1680"/>
    <w:lvl w:ilvl="0">
      <w:start w:val="1"/>
      <w:numFmt w:val="bullet"/>
      <w:lvlText w:val="·"/>
      <w:lvlJc w:val="left"/>
      <w:pPr>
        <w:tabs>
          <w:tab w:val="left" w:pos="360"/>
        </w:tabs>
        <w:ind w:left="720"/>
      </w:pPr>
      <w:rPr>
        <w:rFonts w:ascii="Symbol" w:eastAsia="Symbol" w:hAnsi="Symbol"/>
        <w:strike w:val="0"/>
        <w:color w:val="000000"/>
        <w:spacing w:val="0"/>
        <w:w w:val="100"/>
        <w:sz w:val="20"/>
        <w:shd w:val="solid" w:color="92D050" w:fill="92D05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121860"/>
    <w:multiLevelType w:val="hybridMultilevel"/>
    <w:tmpl w:val="DDB89F10"/>
    <w:lvl w:ilvl="0" w:tplc="FFFFFFFF">
      <w:start w:val="1"/>
      <w:numFmt w:val="decimal"/>
      <w:lvlText w:val="%1."/>
      <w:lvlJc w:val="left"/>
      <w:pPr>
        <w:ind w:left="1080" w:hanging="360"/>
      </w:pPr>
    </w:lvl>
    <w:lvl w:ilvl="1" w:tplc="FFFFFFFF">
      <w:start w:val="1"/>
      <w:numFmt w:val="decimal"/>
      <w:lvlText w:val="%2."/>
      <w:lvlJc w:val="left"/>
      <w:pPr>
        <w:ind w:left="1080" w:hanging="360"/>
      </w:p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F712381"/>
    <w:multiLevelType w:val="hybridMultilevel"/>
    <w:tmpl w:val="DDB89F10"/>
    <w:lvl w:ilvl="0" w:tplc="FFFFFFFF">
      <w:start w:val="1"/>
      <w:numFmt w:val="decimal"/>
      <w:lvlText w:val="%1."/>
      <w:lvlJc w:val="left"/>
      <w:pPr>
        <w:ind w:left="1080" w:hanging="360"/>
      </w:pPr>
    </w:lvl>
    <w:lvl w:ilvl="1" w:tplc="0409000F">
      <w:start w:val="1"/>
      <w:numFmt w:val="decimal"/>
      <w:lvlText w:val="%2."/>
      <w:lvlJc w:val="left"/>
      <w:pPr>
        <w:ind w:left="1080" w:hanging="360"/>
      </w:p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0430FE1"/>
    <w:multiLevelType w:val="hybridMultilevel"/>
    <w:tmpl w:val="CA36252C"/>
    <w:lvl w:ilvl="0" w:tplc="78C6AFD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90227"/>
    <w:multiLevelType w:val="multilevel"/>
    <w:tmpl w:val="60FAE5FA"/>
    <w:lvl w:ilvl="0">
      <w:start w:val="1"/>
      <w:numFmt w:val="bullet"/>
      <w:lvlText w:val="·"/>
      <w:lvlJc w:val="left"/>
      <w:pPr>
        <w:tabs>
          <w:tab w:val="left" w:pos="288"/>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B01CC3"/>
    <w:multiLevelType w:val="multilevel"/>
    <w:tmpl w:val="20BC1A90"/>
    <w:lvl w:ilvl="0">
      <w:start w:val="1"/>
      <w:numFmt w:val="bullet"/>
      <w:lvlText w:val="·"/>
      <w:lvlJc w:val="left"/>
      <w:pPr>
        <w:tabs>
          <w:tab w:val="left" w:pos="432"/>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3E2341"/>
    <w:multiLevelType w:val="hybridMultilevel"/>
    <w:tmpl w:val="806C1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E3669C"/>
    <w:multiLevelType w:val="hybridMultilevel"/>
    <w:tmpl w:val="52D419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16152B"/>
    <w:multiLevelType w:val="hybridMultilevel"/>
    <w:tmpl w:val="A2F4F9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6700616"/>
    <w:multiLevelType w:val="hybridMultilevel"/>
    <w:tmpl w:val="2D069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9F548A"/>
    <w:multiLevelType w:val="hybridMultilevel"/>
    <w:tmpl w:val="D89C7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D25FAD"/>
    <w:multiLevelType w:val="hybridMultilevel"/>
    <w:tmpl w:val="1628543C"/>
    <w:lvl w:ilvl="0" w:tplc="FFFFFFFF">
      <w:start w:val="1"/>
      <w:numFmt w:val="decimal"/>
      <w:lvlText w:val="%1."/>
      <w:lvlJc w:val="left"/>
      <w:pPr>
        <w:ind w:left="1080" w:hanging="360"/>
      </w:pPr>
    </w:lvl>
    <w:lvl w:ilvl="1" w:tplc="04090019">
      <w:start w:val="1"/>
      <w:numFmt w:val="lowerLetter"/>
      <w:lvlText w:val="%2."/>
      <w:lvlJc w:val="left"/>
      <w:pPr>
        <w:ind w:left="1080" w:hanging="360"/>
      </w:p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21289638">
    <w:abstractNumId w:val="0"/>
  </w:num>
  <w:num w:numId="2" w16cid:durableId="1097286010">
    <w:abstractNumId w:val="5"/>
  </w:num>
  <w:num w:numId="3" w16cid:durableId="1278443250">
    <w:abstractNumId w:val="4"/>
  </w:num>
  <w:num w:numId="4" w16cid:durableId="838346882">
    <w:abstractNumId w:val="3"/>
  </w:num>
  <w:num w:numId="5" w16cid:durableId="948044353">
    <w:abstractNumId w:val="7"/>
  </w:num>
  <w:num w:numId="6" w16cid:durableId="951742303">
    <w:abstractNumId w:val="2"/>
  </w:num>
  <w:num w:numId="7" w16cid:durableId="1227689103">
    <w:abstractNumId w:val="11"/>
  </w:num>
  <w:num w:numId="8" w16cid:durableId="1317224388">
    <w:abstractNumId w:val="9"/>
  </w:num>
  <w:num w:numId="9" w16cid:durableId="1969705190">
    <w:abstractNumId w:val="6"/>
  </w:num>
  <w:num w:numId="10" w16cid:durableId="1372920219">
    <w:abstractNumId w:val="10"/>
  </w:num>
  <w:num w:numId="11" w16cid:durableId="113640323">
    <w:abstractNumId w:val="8"/>
  </w:num>
  <w:num w:numId="12" w16cid:durableId="1507208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BD"/>
    <w:rsid w:val="000106B4"/>
    <w:rsid w:val="00010797"/>
    <w:rsid w:val="00026184"/>
    <w:rsid w:val="00055B09"/>
    <w:rsid w:val="00147CD0"/>
    <w:rsid w:val="001A228A"/>
    <w:rsid w:val="00223166"/>
    <w:rsid w:val="00277CFA"/>
    <w:rsid w:val="00294DE0"/>
    <w:rsid w:val="002D7598"/>
    <w:rsid w:val="002F39C4"/>
    <w:rsid w:val="003929BD"/>
    <w:rsid w:val="003A3F62"/>
    <w:rsid w:val="003B277D"/>
    <w:rsid w:val="003D1425"/>
    <w:rsid w:val="004014A4"/>
    <w:rsid w:val="00404AC8"/>
    <w:rsid w:val="00412AB1"/>
    <w:rsid w:val="00451A2F"/>
    <w:rsid w:val="005739C5"/>
    <w:rsid w:val="005823A4"/>
    <w:rsid w:val="005E2E8F"/>
    <w:rsid w:val="005F3360"/>
    <w:rsid w:val="005F545A"/>
    <w:rsid w:val="00621D18"/>
    <w:rsid w:val="00642F7F"/>
    <w:rsid w:val="00673652"/>
    <w:rsid w:val="006E7155"/>
    <w:rsid w:val="00777DEC"/>
    <w:rsid w:val="00784DA3"/>
    <w:rsid w:val="007A61B6"/>
    <w:rsid w:val="007C511E"/>
    <w:rsid w:val="007D185A"/>
    <w:rsid w:val="007F45F5"/>
    <w:rsid w:val="008172CE"/>
    <w:rsid w:val="008E6C85"/>
    <w:rsid w:val="009174EB"/>
    <w:rsid w:val="009431BB"/>
    <w:rsid w:val="009E5C02"/>
    <w:rsid w:val="00A01F7A"/>
    <w:rsid w:val="00A43A49"/>
    <w:rsid w:val="00AC6F7C"/>
    <w:rsid w:val="00BB2D21"/>
    <w:rsid w:val="00BF11F5"/>
    <w:rsid w:val="00C35F32"/>
    <w:rsid w:val="00C454EF"/>
    <w:rsid w:val="00C65E21"/>
    <w:rsid w:val="00C76C79"/>
    <w:rsid w:val="00C860EE"/>
    <w:rsid w:val="00CA6665"/>
    <w:rsid w:val="00DB2051"/>
    <w:rsid w:val="00DC2825"/>
    <w:rsid w:val="00E37749"/>
    <w:rsid w:val="00E45B76"/>
    <w:rsid w:val="00E47DA6"/>
    <w:rsid w:val="00EA2499"/>
    <w:rsid w:val="00F22706"/>
    <w:rsid w:val="00F61BDA"/>
    <w:rsid w:val="00FE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A663F"/>
  <w15:docId w15:val="{F67244B1-3DFA-664A-9094-1C39767C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6B4"/>
    <w:pPr>
      <w:spacing w:after="160" w:line="259" w:lineRule="auto"/>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C76C79"/>
    <w:rPr>
      <w:color w:val="666666"/>
    </w:rPr>
  </w:style>
  <w:style w:type="paragraph" w:styleId="Header">
    <w:name w:val="header"/>
    <w:basedOn w:val="Normal"/>
    <w:link w:val="HeaderChar"/>
    <w:uiPriority w:val="99"/>
    <w:unhideWhenUsed/>
    <w:rsid w:val="00C76C79"/>
    <w:pPr>
      <w:tabs>
        <w:tab w:val="center" w:pos="4680"/>
        <w:tab w:val="right" w:pos="9360"/>
      </w:tabs>
    </w:pPr>
  </w:style>
  <w:style w:type="character" w:customStyle="1" w:styleId="HeaderChar">
    <w:name w:val="Header Char"/>
    <w:basedOn w:val="DefaultParagraphFont"/>
    <w:link w:val="Header"/>
    <w:uiPriority w:val="99"/>
    <w:rsid w:val="00C76C79"/>
  </w:style>
  <w:style w:type="paragraph" w:styleId="Footer">
    <w:name w:val="footer"/>
    <w:basedOn w:val="Normal"/>
    <w:link w:val="FooterChar"/>
    <w:uiPriority w:val="99"/>
    <w:unhideWhenUsed/>
    <w:rsid w:val="00C76C79"/>
    <w:pPr>
      <w:tabs>
        <w:tab w:val="center" w:pos="4680"/>
        <w:tab w:val="right" w:pos="9360"/>
      </w:tabs>
    </w:pPr>
  </w:style>
  <w:style w:type="character" w:customStyle="1" w:styleId="FooterChar">
    <w:name w:val="Footer Char"/>
    <w:basedOn w:val="DefaultParagraphFont"/>
    <w:link w:val="Footer"/>
    <w:uiPriority w:val="99"/>
    <w:rsid w:val="00C7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2824</Characters>
  <Application>Microsoft Office Word</Application>
  <DocSecurity>4</DocSecurity>
  <Lines>61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Kewley</dc:creator>
  <cp:lastModifiedBy>Erin Yates</cp:lastModifiedBy>
  <cp:revision>2</cp:revision>
  <cp:lastPrinted>2026-03-06T22:06:00Z</cp:lastPrinted>
  <dcterms:created xsi:type="dcterms:W3CDTF">2026-03-09T16:48:00Z</dcterms:created>
  <dcterms:modified xsi:type="dcterms:W3CDTF">2026-03-09T16:48:00Z</dcterms:modified>
</cp:coreProperties>
</file>