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C204" w14:textId="65CD5343" w:rsidR="0029486E" w:rsidRPr="00766E56" w:rsidRDefault="00FA01E7" w:rsidP="00FA01E7">
      <w:pPr>
        <w:jc w:val="center"/>
        <w:rPr>
          <w:sz w:val="28"/>
          <w:szCs w:val="28"/>
          <w:u w:val="single"/>
        </w:rPr>
      </w:pPr>
      <w:r w:rsidRPr="00766E56">
        <w:rPr>
          <w:sz w:val="28"/>
          <w:szCs w:val="28"/>
          <w:u w:val="single"/>
        </w:rPr>
        <w:t>RCI CONTRAST POLICY QUICK GUIDE</w:t>
      </w:r>
    </w:p>
    <w:p w14:paraId="4E3197D3" w14:textId="3E2DE846" w:rsidR="003273B3" w:rsidRPr="0062657F" w:rsidRDefault="003273B3" w:rsidP="003273B3">
      <w:pPr>
        <w:rPr>
          <w:u w:val="single"/>
        </w:rPr>
      </w:pPr>
      <w:r w:rsidRPr="0062657F">
        <w:rPr>
          <w:u w:val="single"/>
        </w:rPr>
        <w:t>Iodinated contrast</w:t>
      </w:r>
      <w:r w:rsidR="00895F17" w:rsidRPr="0062657F">
        <w:rPr>
          <w:u w:val="single"/>
        </w:rPr>
        <w:t xml:space="preserve"> (adults)</w:t>
      </w:r>
    </w:p>
    <w:p w14:paraId="40D22E3A" w14:textId="6E07048A" w:rsidR="003273B3" w:rsidRDefault="009E1B9D" w:rsidP="003273B3">
      <w:pPr>
        <w:pStyle w:val="ListParagraph"/>
        <w:numPr>
          <w:ilvl w:val="0"/>
          <w:numId w:val="1"/>
        </w:numPr>
      </w:pPr>
      <w:r>
        <w:t>Indications for renal</w:t>
      </w:r>
      <w:r w:rsidR="003273B3">
        <w:t xml:space="preserve"> function screening (eGFR)</w:t>
      </w:r>
    </w:p>
    <w:p w14:paraId="02712690" w14:textId="1FDF7374" w:rsidR="003273B3" w:rsidRDefault="003273B3" w:rsidP="003273B3">
      <w:pPr>
        <w:pStyle w:val="ListParagraph"/>
        <w:numPr>
          <w:ilvl w:val="1"/>
          <w:numId w:val="1"/>
        </w:numPr>
      </w:pPr>
      <w:r>
        <w:t>Personal history of renal disease: chronic kidney disease (CKD), acute kidney injury (AKI), dialysis, kidney surgery or ablation, albuminuria</w:t>
      </w:r>
    </w:p>
    <w:p w14:paraId="51CDEF2F" w14:textId="170A782D" w:rsidR="003273B3" w:rsidRDefault="003273B3" w:rsidP="003273B3">
      <w:pPr>
        <w:pStyle w:val="ListParagraph"/>
        <w:numPr>
          <w:ilvl w:val="1"/>
          <w:numId w:val="1"/>
        </w:numPr>
      </w:pPr>
      <w:r>
        <w:t>Diabetes mellitus</w:t>
      </w:r>
    </w:p>
    <w:p w14:paraId="2E796DD3" w14:textId="45D78F1A" w:rsidR="003273B3" w:rsidRDefault="003273B3" w:rsidP="003273B3">
      <w:pPr>
        <w:pStyle w:val="ListParagraph"/>
        <w:numPr>
          <w:ilvl w:val="1"/>
          <w:numId w:val="1"/>
        </w:numPr>
      </w:pPr>
      <w:r>
        <w:t>Metformin or metformin-containing drug combinations</w:t>
      </w:r>
    </w:p>
    <w:p w14:paraId="692F0DC3" w14:textId="77777777" w:rsidR="009E1B9D" w:rsidRDefault="009E1B9D" w:rsidP="009E1B9D">
      <w:pPr>
        <w:pStyle w:val="ListParagraph"/>
        <w:numPr>
          <w:ilvl w:val="0"/>
          <w:numId w:val="1"/>
        </w:numPr>
      </w:pPr>
      <w:r>
        <w:t>eGFR thresholds</w:t>
      </w:r>
    </w:p>
    <w:p w14:paraId="31928345" w14:textId="63FDB6DF" w:rsidR="009E1B9D" w:rsidRDefault="009E1B9D" w:rsidP="009E1B9D">
      <w:pPr>
        <w:pStyle w:val="ListParagraph"/>
        <w:numPr>
          <w:ilvl w:val="1"/>
          <w:numId w:val="1"/>
        </w:numPr>
      </w:pPr>
      <w:r>
        <w:rPr>
          <w:u w:val="single"/>
        </w:rPr>
        <w:t>&gt;</w:t>
      </w:r>
      <w:r w:rsidRPr="009E1B9D">
        <w:t>30 mL/min/1.73m2</w:t>
      </w:r>
      <w:r>
        <w:t xml:space="preserve">: proceed with </w:t>
      </w:r>
      <w:r w:rsidR="00895F17">
        <w:t>CE-CT</w:t>
      </w:r>
      <w:r>
        <w:t xml:space="preserve"> in the absence of an acute decline in eGFR (e.g. 90 to 35 in 2 weeks)</w:t>
      </w:r>
    </w:p>
    <w:p w14:paraId="030F53A3" w14:textId="03F53B65" w:rsidR="009E1B9D" w:rsidRDefault="009E1B9D" w:rsidP="009E1B9D">
      <w:pPr>
        <w:pStyle w:val="ListParagraph"/>
        <w:numPr>
          <w:ilvl w:val="1"/>
          <w:numId w:val="1"/>
        </w:numPr>
      </w:pPr>
      <w:r>
        <w:rPr>
          <w:u w:val="single"/>
        </w:rPr>
        <w:t>&lt;</w:t>
      </w:r>
      <w:r w:rsidRPr="009E1B9D">
        <w:t>30 mL/min/1.73m2</w:t>
      </w:r>
      <w:r>
        <w:t xml:space="preserve">: may be able to proceed with </w:t>
      </w:r>
      <w:r w:rsidR="00895F17">
        <w:t>CE-CT</w:t>
      </w:r>
      <w:r>
        <w:t xml:space="preserve"> if </w:t>
      </w:r>
      <w:r w:rsidR="00624BCB">
        <w:t xml:space="preserve">the patient has chronically low eGFR. </w:t>
      </w:r>
      <w:r w:rsidR="00624BCB">
        <w:rPr>
          <w:b/>
          <w:bCs/>
        </w:rPr>
        <w:t>Contact radiologist for approval.</w:t>
      </w:r>
    </w:p>
    <w:p w14:paraId="6DFDF8A5" w14:textId="27B6BDF6" w:rsidR="00624BCB" w:rsidRDefault="00624BCB" w:rsidP="00624BCB">
      <w:pPr>
        <w:pStyle w:val="ListParagraph"/>
        <w:numPr>
          <w:ilvl w:val="0"/>
          <w:numId w:val="1"/>
        </w:numPr>
      </w:pPr>
      <w:r>
        <w:t>Dialysis</w:t>
      </w:r>
    </w:p>
    <w:p w14:paraId="755DA4EF" w14:textId="36F77204" w:rsidR="00624BCB" w:rsidRDefault="00624BCB" w:rsidP="00624BCB">
      <w:pPr>
        <w:pStyle w:val="ListParagraph"/>
        <w:numPr>
          <w:ilvl w:val="1"/>
          <w:numId w:val="1"/>
        </w:numPr>
      </w:pPr>
      <w:r>
        <w:t>Chronic dialysis for end-stage renal disease</w:t>
      </w:r>
    </w:p>
    <w:p w14:paraId="5423308C" w14:textId="2985EC7E" w:rsidR="00624BCB" w:rsidRDefault="00624BCB" w:rsidP="00624BCB">
      <w:pPr>
        <w:pStyle w:val="ListParagraph"/>
        <w:numPr>
          <w:ilvl w:val="2"/>
          <w:numId w:val="1"/>
        </w:numPr>
      </w:pPr>
      <w:r>
        <w:t xml:space="preserve">Anuric: proceed with </w:t>
      </w:r>
      <w:r w:rsidR="00895F17">
        <w:t>CE-CT</w:t>
      </w:r>
    </w:p>
    <w:p w14:paraId="05AE3CF3" w14:textId="1F277909" w:rsidR="00624BCB" w:rsidRDefault="00624BCB" w:rsidP="00624BCB">
      <w:pPr>
        <w:pStyle w:val="ListParagraph"/>
        <w:numPr>
          <w:ilvl w:val="2"/>
          <w:numId w:val="1"/>
        </w:numPr>
      </w:pPr>
      <w:r>
        <w:t xml:space="preserve">Oliguric (1-2 cups of urine daily): </w:t>
      </w:r>
      <w:r>
        <w:rPr>
          <w:b/>
          <w:bCs/>
        </w:rPr>
        <w:t>Contact radiologist for approval.</w:t>
      </w:r>
    </w:p>
    <w:p w14:paraId="5D2AC910" w14:textId="4CD82638" w:rsidR="00624BCB" w:rsidRDefault="00624BCB" w:rsidP="00624BCB">
      <w:pPr>
        <w:pStyle w:val="ListParagraph"/>
        <w:numPr>
          <w:ilvl w:val="1"/>
          <w:numId w:val="1"/>
        </w:numPr>
      </w:pPr>
      <w:r>
        <w:t>Acute dialysis</w:t>
      </w:r>
      <w:r w:rsidR="008B319C">
        <w:t xml:space="preserve"> for acute kidney injury</w:t>
      </w:r>
      <w:r>
        <w:t xml:space="preserve">: </w:t>
      </w:r>
      <w:r>
        <w:rPr>
          <w:b/>
          <w:bCs/>
        </w:rPr>
        <w:t>Contact radiologist for approval.</w:t>
      </w:r>
    </w:p>
    <w:p w14:paraId="54038A5D" w14:textId="1F34CC19" w:rsidR="00624BCB" w:rsidRDefault="00624BCB" w:rsidP="00895F17">
      <w:pPr>
        <w:pStyle w:val="ListParagraph"/>
        <w:numPr>
          <w:ilvl w:val="1"/>
          <w:numId w:val="1"/>
        </w:numPr>
      </w:pPr>
      <w:r>
        <w:t xml:space="preserve">Missed outpatient dialysis session: </w:t>
      </w:r>
      <w:r w:rsidR="008B319C">
        <w:t xml:space="preserve">may </w:t>
      </w:r>
      <w:r>
        <w:t xml:space="preserve">proceed with </w:t>
      </w:r>
      <w:r w:rsidR="00895F17">
        <w:t>CE-CT</w:t>
      </w:r>
    </w:p>
    <w:p w14:paraId="6BEE0940" w14:textId="0D354C39" w:rsidR="00895F17" w:rsidRDefault="00895F17" w:rsidP="00895F17">
      <w:pPr>
        <w:pStyle w:val="ListParagraph"/>
        <w:numPr>
          <w:ilvl w:val="0"/>
          <w:numId w:val="1"/>
        </w:numPr>
      </w:pPr>
      <w:r>
        <w:t>Multiple contrast injections over 24 hours</w:t>
      </w:r>
    </w:p>
    <w:p w14:paraId="07ABAF74" w14:textId="3D7E327D" w:rsidR="00895F17" w:rsidRDefault="00895F17" w:rsidP="00895F17">
      <w:pPr>
        <w:pStyle w:val="ListParagraph"/>
        <w:numPr>
          <w:ilvl w:val="1"/>
          <w:numId w:val="1"/>
        </w:numPr>
      </w:pPr>
      <w:r>
        <w:t>Maximum permissible dose in 24 hours is 300 mL</w:t>
      </w:r>
    </w:p>
    <w:p w14:paraId="63D83BB3" w14:textId="0C5F46F5" w:rsidR="00895F17" w:rsidRDefault="00895F17" w:rsidP="00895F17">
      <w:pPr>
        <w:pStyle w:val="ListParagraph"/>
        <w:numPr>
          <w:ilvl w:val="2"/>
          <w:numId w:val="1"/>
        </w:numPr>
      </w:pPr>
      <w:r>
        <w:t xml:space="preserve">eGFR </w:t>
      </w:r>
      <w:r>
        <w:rPr>
          <w:u w:val="single"/>
        </w:rPr>
        <w:t>&gt;</w:t>
      </w:r>
      <w:r w:rsidRPr="009E1B9D">
        <w:t>30 mL/min/1.73m2</w:t>
      </w:r>
      <w:r>
        <w:t>: proceed with subsequent CE-CT(s)</w:t>
      </w:r>
    </w:p>
    <w:p w14:paraId="422B3547" w14:textId="7CD67593" w:rsidR="00895F17" w:rsidRPr="00895F17" w:rsidRDefault="00895F17" w:rsidP="00895F17">
      <w:pPr>
        <w:pStyle w:val="ListParagraph"/>
        <w:numPr>
          <w:ilvl w:val="2"/>
          <w:numId w:val="1"/>
        </w:numPr>
      </w:pPr>
      <w:r w:rsidRPr="00895F17">
        <w:t xml:space="preserve">eGFR </w:t>
      </w:r>
      <w:r>
        <w:rPr>
          <w:u w:val="single"/>
        </w:rPr>
        <w:t>&lt;</w:t>
      </w:r>
      <w:r w:rsidRPr="009E1B9D">
        <w:t>30 mL/min/1.73m2</w:t>
      </w:r>
      <w:r>
        <w:t xml:space="preserve">: </w:t>
      </w:r>
      <w:r>
        <w:rPr>
          <w:b/>
          <w:bCs/>
        </w:rPr>
        <w:t>Contact radiologist for approval.</w:t>
      </w:r>
    </w:p>
    <w:p w14:paraId="3CE5E248" w14:textId="77777777" w:rsidR="0013537C" w:rsidRDefault="00895F17" w:rsidP="0013537C">
      <w:pPr>
        <w:pStyle w:val="ListParagraph"/>
        <w:numPr>
          <w:ilvl w:val="1"/>
          <w:numId w:val="1"/>
        </w:numPr>
      </w:pPr>
      <w:r>
        <w:t>Iodinated contrast and gadolinium-based contrast agents can both be administered within a 24-hour period if appropriate based on eGFR and/or dialysis histor</w:t>
      </w:r>
      <w:r w:rsidR="00AB21F0">
        <w:t>y</w:t>
      </w:r>
    </w:p>
    <w:p w14:paraId="67A9C08A" w14:textId="1C1C6DEE" w:rsidR="00C77416" w:rsidRDefault="00C77416" w:rsidP="0013537C">
      <w:pPr>
        <w:pStyle w:val="ListParagraph"/>
        <w:numPr>
          <w:ilvl w:val="1"/>
          <w:numId w:val="1"/>
        </w:numPr>
      </w:pPr>
      <w:r>
        <w:t xml:space="preserve">A repeat eGFR between contrast-enhanced exams is </w:t>
      </w:r>
      <w:r w:rsidRPr="00C77416">
        <w:rPr>
          <w:u w:val="single"/>
        </w:rPr>
        <w:t>not necessary</w:t>
      </w:r>
      <w:r>
        <w:t>.</w:t>
      </w:r>
    </w:p>
    <w:p w14:paraId="3944F414" w14:textId="158AFA27" w:rsidR="00AB21F0" w:rsidRDefault="00F05582" w:rsidP="0013537C">
      <w:pPr>
        <w:pStyle w:val="ListParagraph"/>
        <w:numPr>
          <w:ilvl w:val="0"/>
          <w:numId w:val="1"/>
        </w:numPr>
      </w:pPr>
      <w:r>
        <w:t>Allergic-like reactions</w:t>
      </w:r>
      <w:r w:rsidR="00766E56">
        <w:t xml:space="preserve">/premedication: </w:t>
      </w:r>
      <w:r w:rsidR="0013537C">
        <w:t xml:space="preserve">see </w:t>
      </w:r>
      <w:r>
        <w:t>Allergic-Like Reactions</w:t>
      </w:r>
      <w:r w:rsidR="0013537C">
        <w:t xml:space="preserve"> </w:t>
      </w:r>
      <w:r w:rsidR="00DE7CD3">
        <w:t xml:space="preserve">to Contrast Media </w:t>
      </w:r>
      <w:r w:rsidR="0013537C">
        <w:t>and Premedication Policy</w:t>
      </w:r>
    </w:p>
    <w:p w14:paraId="4C90BB67" w14:textId="6246E095" w:rsidR="00766E56" w:rsidRDefault="00766E56" w:rsidP="00AB21F0">
      <w:pPr>
        <w:pStyle w:val="ListParagraph"/>
        <w:numPr>
          <w:ilvl w:val="0"/>
          <w:numId w:val="1"/>
        </w:numPr>
      </w:pPr>
      <w:r>
        <w:t xml:space="preserve">Management of acute reactions to contrast media: see </w:t>
      </w:r>
      <w:r w:rsidR="00DB711F">
        <w:t>ACR Manual on Contrast Media</w:t>
      </w:r>
      <w:r w:rsidR="002646CE">
        <w:t xml:space="preserve"> and ACR contrast reaction </w:t>
      </w:r>
      <w:r w:rsidR="00F05582">
        <w:t>card</w:t>
      </w:r>
    </w:p>
    <w:p w14:paraId="570B572E" w14:textId="0196F1FE" w:rsidR="00766E56" w:rsidRDefault="00766E56" w:rsidP="00AB21F0">
      <w:pPr>
        <w:pStyle w:val="ListParagraph"/>
        <w:numPr>
          <w:ilvl w:val="0"/>
          <w:numId w:val="1"/>
        </w:numPr>
      </w:pPr>
      <w:r>
        <w:t xml:space="preserve">Oral contrast: see </w:t>
      </w:r>
      <w:r w:rsidR="0013537C">
        <w:t>Oral Contrast Preparation (CT) document</w:t>
      </w:r>
    </w:p>
    <w:p w14:paraId="011B9723" w14:textId="77777777" w:rsidR="00C657D1" w:rsidRDefault="00C657D1" w:rsidP="00C657D1">
      <w:pPr>
        <w:pStyle w:val="ListParagraph"/>
      </w:pPr>
    </w:p>
    <w:p w14:paraId="2BB8FB2E" w14:textId="79AED1C2" w:rsidR="00AB21F0" w:rsidRPr="0062657F" w:rsidRDefault="00766E56" w:rsidP="00A121A0">
      <w:pPr>
        <w:rPr>
          <w:u w:val="single"/>
        </w:rPr>
      </w:pPr>
      <w:r w:rsidRPr="0062657F">
        <w:rPr>
          <w:u w:val="single"/>
        </w:rPr>
        <w:t>Gadolinium-based contrast (adults)</w:t>
      </w:r>
    </w:p>
    <w:p w14:paraId="7CFCA29D" w14:textId="1DE70BAB" w:rsidR="00DB711F" w:rsidRDefault="00DB711F" w:rsidP="00DB711F">
      <w:pPr>
        <w:pStyle w:val="ListParagraph"/>
        <w:numPr>
          <w:ilvl w:val="0"/>
          <w:numId w:val="2"/>
        </w:numPr>
      </w:pPr>
      <w:r>
        <w:t>Indications for renal function screening</w:t>
      </w:r>
      <w:r w:rsidR="002646CE">
        <w:t xml:space="preserve"> (eGFR)</w:t>
      </w:r>
    </w:p>
    <w:p w14:paraId="7C2ED97C" w14:textId="1BEA6484" w:rsidR="002646CE" w:rsidRDefault="002646CE" w:rsidP="002646CE">
      <w:pPr>
        <w:pStyle w:val="ListParagraph"/>
        <w:numPr>
          <w:ilvl w:val="1"/>
          <w:numId w:val="2"/>
        </w:numPr>
      </w:pPr>
      <w:r>
        <w:t xml:space="preserve">Group II agents (e.g. MultiHance, Gadavist, Dotarem, </w:t>
      </w:r>
      <w:proofErr w:type="spellStart"/>
      <w:r>
        <w:t>Clariscan</w:t>
      </w:r>
      <w:proofErr w:type="spellEnd"/>
      <w:r>
        <w:t>, ProHance</w:t>
      </w:r>
      <w:r w:rsidR="006C6507">
        <w:t>, Eovist*</w:t>
      </w:r>
      <w:r>
        <w:t>)</w:t>
      </w:r>
    </w:p>
    <w:p w14:paraId="6C3084CA" w14:textId="5AF181AB" w:rsidR="002646CE" w:rsidRPr="006C6507" w:rsidRDefault="002646CE" w:rsidP="002646CE">
      <w:pPr>
        <w:pStyle w:val="ListParagraph"/>
        <w:numPr>
          <w:ilvl w:val="2"/>
          <w:numId w:val="2"/>
        </w:numPr>
        <w:rPr>
          <w:b/>
          <w:bCs/>
        </w:rPr>
      </w:pPr>
      <w:r w:rsidRPr="006C6507">
        <w:rPr>
          <w:b/>
          <w:bCs/>
        </w:rPr>
        <w:t>No screening necessary.</w:t>
      </w:r>
    </w:p>
    <w:p w14:paraId="201CB721" w14:textId="1A320993" w:rsidR="006C6507" w:rsidRDefault="006C6507" w:rsidP="002646CE">
      <w:pPr>
        <w:pStyle w:val="ListParagraph"/>
        <w:numPr>
          <w:ilvl w:val="2"/>
          <w:numId w:val="2"/>
        </w:numPr>
      </w:pPr>
      <w:r>
        <w:t>Eovist was reclassified as a group II agent in 2024</w:t>
      </w:r>
    </w:p>
    <w:p w14:paraId="3E826D65" w14:textId="2A4420CA" w:rsidR="002646CE" w:rsidRDefault="006C6507" w:rsidP="002646CE">
      <w:pPr>
        <w:pStyle w:val="ListParagraph"/>
        <w:numPr>
          <w:ilvl w:val="1"/>
          <w:numId w:val="2"/>
        </w:numPr>
      </w:pPr>
      <w:r>
        <w:t>Group I and III agents: see ACR Manual on Contrast Media</w:t>
      </w:r>
    </w:p>
    <w:p w14:paraId="369CF740" w14:textId="0A3F2FF4" w:rsidR="006C6507" w:rsidRDefault="006C6507" w:rsidP="006C6507">
      <w:pPr>
        <w:pStyle w:val="ListParagraph"/>
        <w:numPr>
          <w:ilvl w:val="2"/>
          <w:numId w:val="2"/>
        </w:numPr>
      </w:pPr>
      <w:r>
        <w:t xml:space="preserve">No group I or III agents </w:t>
      </w:r>
      <w:r w:rsidR="008B319C">
        <w:t xml:space="preserve">are </w:t>
      </w:r>
      <w:r>
        <w:t>currently used at an RCI affiliated radiology department</w:t>
      </w:r>
    </w:p>
    <w:p w14:paraId="5C15ABB6" w14:textId="045AFFEA" w:rsidR="006C6507" w:rsidRDefault="006C6507" w:rsidP="006C6507">
      <w:pPr>
        <w:pStyle w:val="ListParagraph"/>
        <w:numPr>
          <w:ilvl w:val="0"/>
          <w:numId w:val="2"/>
        </w:numPr>
      </w:pPr>
      <w:r>
        <w:t>Dialysis (</w:t>
      </w:r>
      <w:r>
        <w:rPr>
          <w:b/>
          <w:bCs/>
        </w:rPr>
        <w:t>group II agen</w:t>
      </w:r>
      <w:r w:rsidR="008B319C">
        <w:rPr>
          <w:b/>
          <w:bCs/>
        </w:rPr>
        <w:t>ts only</w:t>
      </w:r>
      <w:r w:rsidR="008B319C">
        <w:t>)</w:t>
      </w:r>
    </w:p>
    <w:p w14:paraId="37B8E735" w14:textId="4DBE03EB" w:rsidR="006C6507" w:rsidRDefault="006C6507" w:rsidP="006C6507">
      <w:pPr>
        <w:pStyle w:val="ListParagraph"/>
        <w:numPr>
          <w:ilvl w:val="1"/>
          <w:numId w:val="2"/>
        </w:numPr>
      </w:pPr>
      <w:r>
        <w:t xml:space="preserve">Outpatients: </w:t>
      </w:r>
      <w:r w:rsidR="008B319C">
        <w:t>dialysis must be performed within 24 hours of gadolinium contrast administration and patients should be scheduled or rescheduled as such</w:t>
      </w:r>
    </w:p>
    <w:p w14:paraId="2F1ED047" w14:textId="77777777" w:rsidR="00DE7CD3" w:rsidRDefault="008B319C" w:rsidP="00DE7CD3">
      <w:pPr>
        <w:pStyle w:val="ListParagraph"/>
        <w:numPr>
          <w:ilvl w:val="1"/>
          <w:numId w:val="2"/>
        </w:numPr>
      </w:pPr>
      <w:r>
        <w:t>Emergent/inpatients: although preferred, performing dialysis within 24 hours of gadolinium contrast administration is not mandatory, and routine dialysis schedules do not require alteration although exams should be performed as close as reasonably possible to the next scheduled dialysis session</w:t>
      </w:r>
    </w:p>
    <w:p w14:paraId="20611431" w14:textId="6B9430BE" w:rsidR="00DE7CD3" w:rsidRDefault="00F05582" w:rsidP="00DE7CD3">
      <w:pPr>
        <w:pStyle w:val="ListParagraph"/>
        <w:numPr>
          <w:ilvl w:val="0"/>
          <w:numId w:val="2"/>
        </w:numPr>
      </w:pPr>
      <w:r>
        <w:t>Allergic-like reactions</w:t>
      </w:r>
      <w:r w:rsidR="0013537C">
        <w:t xml:space="preserve">/premedication: </w:t>
      </w:r>
      <w:r w:rsidR="00DE7CD3">
        <w:t>see Allergic-Like Reactions to Contrast Media and Premedication Policy</w:t>
      </w:r>
    </w:p>
    <w:p w14:paraId="15C1B1E1" w14:textId="475068C1" w:rsidR="0013537C" w:rsidRDefault="0013537C" w:rsidP="0013537C">
      <w:pPr>
        <w:pStyle w:val="ListParagraph"/>
        <w:numPr>
          <w:ilvl w:val="0"/>
          <w:numId w:val="2"/>
        </w:numPr>
      </w:pPr>
      <w:r>
        <w:lastRenderedPageBreak/>
        <w:t>Management of acute reactions to contrast media: see ACR Manual on Contrast Media and ACR contrast reaction cards (adult and pediatric patients)</w:t>
      </w:r>
    </w:p>
    <w:p w14:paraId="463CC840" w14:textId="77777777" w:rsidR="00F05582" w:rsidRDefault="00F05582" w:rsidP="00F05582"/>
    <w:p w14:paraId="7B76948A" w14:textId="77777777" w:rsidR="00F05582" w:rsidRPr="0062657F" w:rsidRDefault="00F05582" w:rsidP="00F05582">
      <w:pPr>
        <w:rPr>
          <w:u w:val="single"/>
        </w:rPr>
      </w:pPr>
      <w:r w:rsidRPr="0062657F">
        <w:rPr>
          <w:u w:val="single"/>
        </w:rPr>
        <w:t>Pediatric patients</w:t>
      </w:r>
    </w:p>
    <w:p w14:paraId="03FF7D4D" w14:textId="2E1A7750" w:rsidR="00F05582" w:rsidRDefault="00F05582" w:rsidP="00F05582">
      <w:pPr>
        <w:pStyle w:val="ListParagraph"/>
        <w:numPr>
          <w:ilvl w:val="0"/>
          <w:numId w:val="5"/>
        </w:numPr>
      </w:pPr>
      <w:r>
        <w:t>Iodinated contrast</w:t>
      </w:r>
    </w:p>
    <w:p w14:paraId="571E575E" w14:textId="77777777" w:rsidR="00DE7CD3" w:rsidRDefault="00F05582" w:rsidP="00DE7CD3">
      <w:pPr>
        <w:pStyle w:val="ListParagraph"/>
        <w:numPr>
          <w:ilvl w:val="1"/>
          <w:numId w:val="5"/>
        </w:numPr>
      </w:pPr>
      <w:r>
        <w:t>Dose: weight based</w:t>
      </w:r>
    </w:p>
    <w:p w14:paraId="49DF9E92" w14:textId="004AF825" w:rsidR="00DE7CD3" w:rsidRDefault="00F05582" w:rsidP="00DE7CD3">
      <w:pPr>
        <w:pStyle w:val="ListParagraph"/>
        <w:numPr>
          <w:ilvl w:val="1"/>
          <w:numId w:val="5"/>
        </w:numPr>
      </w:pPr>
      <w:r>
        <w:t xml:space="preserve">Allergic-like reactions/premedication: see </w:t>
      </w:r>
      <w:proofErr w:type="spellStart"/>
      <w:r w:rsidR="00DE7CD3">
        <w:t>see</w:t>
      </w:r>
      <w:proofErr w:type="spellEnd"/>
      <w:r w:rsidR="00DE7CD3">
        <w:t xml:space="preserve"> Allergic-Like Reactions to Contrast Media and Premedication Policy</w:t>
      </w:r>
    </w:p>
    <w:p w14:paraId="1B5DC1B0" w14:textId="22D330EA" w:rsidR="00F05582" w:rsidRDefault="00F05582" w:rsidP="00F05582">
      <w:pPr>
        <w:pStyle w:val="ListParagraph"/>
        <w:numPr>
          <w:ilvl w:val="1"/>
          <w:numId w:val="5"/>
        </w:numPr>
      </w:pPr>
      <w:r>
        <w:t>Management of acute reactions to contrast media: see ACR Manual on Contrast Media and ACR contrast reaction card</w:t>
      </w:r>
    </w:p>
    <w:p w14:paraId="6532B40D" w14:textId="31F2C604" w:rsidR="00F05582" w:rsidRDefault="00F05582" w:rsidP="00F05582">
      <w:pPr>
        <w:pStyle w:val="ListParagraph"/>
        <w:numPr>
          <w:ilvl w:val="1"/>
          <w:numId w:val="5"/>
        </w:numPr>
      </w:pPr>
      <w:r>
        <w:t>Oral contrast: see Oral Contrast Preparation (CT) document</w:t>
      </w:r>
    </w:p>
    <w:p w14:paraId="1CE39FE5" w14:textId="3240C413" w:rsidR="00F05582" w:rsidRDefault="00F05582" w:rsidP="00F05582">
      <w:pPr>
        <w:pStyle w:val="ListParagraph"/>
        <w:numPr>
          <w:ilvl w:val="0"/>
          <w:numId w:val="5"/>
        </w:numPr>
      </w:pPr>
      <w:r>
        <w:t>Gadolinium-based contrast</w:t>
      </w:r>
      <w:r w:rsidR="0062657F">
        <w:t xml:space="preserve"> (</w:t>
      </w:r>
      <w:r w:rsidR="0062657F">
        <w:rPr>
          <w:b/>
          <w:bCs/>
        </w:rPr>
        <w:t>group II agents only</w:t>
      </w:r>
      <w:r w:rsidR="0062657F">
        <w:t>)</w:t>
      </w:r>
    </w:p>
    <w:p w14:paraId="760D6D91" w14:textId="77777777" w:rsidR="00DE7CD3" w:rsidRDefault="00C657D1" w:rsidP="00DE7CD3">
      <w:pPr>
        <w:pStyle w:val="ListParagraph"/>
        <w:numPr>
          <w:ilvl w:val="1"/>
          <w:numId w:val="5"/>
        </w:numPr>
      </w:pPr>
      <w:r>
        <w:t>Dose: weight based</w:t>
      </w:r>
    </w:p>
    <w:p w14:paraId="7CB43628" w14:textId="332B7E5C" w:rsidR="00C657D1" w:rsidRDefault="00C657D1" w:rsidP="00DE7CD3">
      <w:pPr>
        <w:pStyle w:val="ListParagraph"/>
        <w:numPr>
          <w:ilvl w:val="1"/>
          <w:numId w:val="5"/>
        </w:numPr>
      </w:pPr>
      <w:r>
        <w:t xml:space="preserve">Allergic-like reactions/premedication: </w:t>
      </w:r>
      <w:r w:rsidR="00DE7CD3">
        <w:t>see Allergic-Like Reactions to Contrast Media and Premedication Policy</w:t>
      </w:r>
    </w:p>
    <w:p w14:paraId="431D30A2" w14:textId="21ADDDF4" w:rsidR="00C657D1" w:rsidRDefault="00C657D1" w:rsidP="00C657D1">
      <w:pPr>
        <w:pStyle w:val="ListParagraph"/>
        <w:numPr>
          <w:ilvl w:val="1"/>
          <w:numId w:val="5"/>
        </w:numPr>
      </w:pPr>
      <w:r>
        <w:t>Management of acute reactions to contrast media: see ACR Manual on Contrast Media and ACR contrast reaction card</w:t>
      </w:r>
    </w:p>
    <w:p w14:paraId="01339C45" w14:textId="77777777" w:rsidR="00C657D1" w:rsidRDefault="00C657D1" w:rsidP="00C657D1">
      <w:pPr>
        <w:pStyle w:val="ListParagraph"/>
        <w:ind w:left="1440"/>
      </w:pPr>
    </w:p>
    <w:p w14:paraId="190B63FA" w14:textId="429F5C0F" w:rsidR="001478AE" w:rsidRPr="0062657F" w:rsidRDefault="001478AE" w:rsidP="001478AE">
      <w:pPr>
        <w:rPr>
          <w:u w:val="single"/>
        </w:rPr>
      </w:pPr>
      <w:r w:rsidRPr="0062657F">
        <w:rPr>
          <w:u w:val="single"/>
        </w:rPr>
        <w:t>Pregnant patients</w:t>
      </w:r>
    </w:p>
    <w:p w14:paraId="3A0379C5" w14:textId="7D50F40F" w:rsidR="001478AE" w:rsidRDefault="001478AE" w:rsidP="001478AE">
      <w:pPr>
        <w:pStyle w:val="ListParagraph"/>
        <w:numPr>
          <w:ilvl w:val="0"/>
          <w:numId w:val="3"/>
        </w:numPr>
      </w:pPr>
      <w:r>
        <w:t>Iodinated contrast</w:t>
      </w:r>
      <w:r w:rsidR="00D76EF3">
        <w:t>*</w:t>
      </w:r>
    </w:p>
    <w:p w14:paraId="5350753B" w14:textId="29F25201" w:rsidR="001478AE" w:rsidRDefault="001478AE" w:rsidP="001478AE">
      <w:pPr>
        <w:pStyle w:val="ListParagraph"/>
        <w:numPr>
          <w:ilvl w:val="1"/>
          <w:numId w:val="3"/>
        </w:numPr>
      </w:pPr>
      <w:r>
        <w:t>Proc</w:t>
      </w:r>
      <w:r w:rsidR="00005652">
        <w:t>e</w:t>
      </w:r>
      <w:r>
        <w:t>ed with contrast administration</w:t>
      </w:r>
    </w:p>
    <w:p w14:paraId="041F5F26" w14:textId="25AFD92A" w:rsidR="001478AE" w:rsidRDefault="00D76EF3" w:rsidP="001478AE">
      <w:pPr>
        <w:pStyle w:val="ListParagraph"/>
        <w:numPr>
          <w:ilvl w:val="1"/>
          <w:numId w:val="3"/>
        </w:numPr>
      </w:pPr>
      <w:r>
        <w:t>*</w:t>
      </w:r>
      <w:r w:rsidR="001478AE">
        <w:t xml:space="preserve">Please see </w:t>
      </w:r>
      <w:r>
        <w:t>ACR-SPR Practice Parameter for Imaging Pregnant or Potentially Pregnant Patients with Ionizing Radiation for further details on screening for pregnancy prior to receiving radiation to the pelvis.</w:t>
      </w:r>
    </w:p>
    <w:p w14:paraId="7F10E077" w14:textId="6627FF3E" w:rsidR="001478AE" w:rsidRDefault="001478AE" w:rsidP="001478AE">
      <w:pPr>
        <w:pStyle w:val="ListParagraph"/>
        <w:numPr>
          <w:ilvl w:val="0"/>
          <w:numId w:val="3"/>
        </w:numPr>
      </w:pPr>
      <w:r>
        <w:t>Gadolinium-based contrast agents</w:t>
      </w:r>
    </w:p>
    <w:p w14:paraId="161A8D2D" w14:textId="709F7C72" w:rsidR="00D76EF3" w:rsidRDefault="00D76EF3" w:rsidP="00D76EF3">
      <w:pPr>
        <w:pStyle w:val="ListParagraph"/>
        <w:numPr>
          <w:ilvl w:val="1"/>
          <w:numId w:val="3"/>
        </w:numPr>
      </w:pPr>
      <w:r>
        <w:rPr>
          <w:b/>
          <w:bCs/>
        </w:rPr>
        <w:t>Requires radiologist approval.</w:t>
      </w:r>
    </w:p>
    <w:p w14:paraId="1742F235" w14:textId="45065EDB" w:rsidR="00D76EF3" w:rsidRDefault="00D76EF3" w:rsidP="00D76EF3">
      <w:pPr>
        <w:pStyle w:val="ListParagraph"/>
        <w:numPr>
          <w:ilvl w:val="1"/>
          <w:numId w:val="3"/>
        </w:numPr>
      </w:pPr>
      <w:r>
        <w:t>Physician to physician communication and documentation of the following:</w:t>
      </w:r>
    </w:p>
    <w:p w14:paraId="66CE89D4" w14:textId="4DF522B9" w:rsidR="00D76EF3" w:rsidRDefault="00D76EF3" w:rsidP="00D76EF3">
      <w:pPr>
        <w:pStyle w:val="ListParagraph"/>
        <w:numPr>
          <w:ilvl w:val="2"/>
          <w:numId w:val="3"/>
        </w:numPr>
      </w:pPr>
      <w:r>
        <w:t>Information from the MRI cannot be acquired without the use of gadolinium-based contrast agents or by using other imaging modalities</w:t>
      </w:r>
    </w:p>
    <w:p w14:paraId="0EC4D94A" w14:textId="4FA3C8DB" w:rsidR="00D76EF3" w:rsidRDefault="00D76EF3" w:rsidP="00D76EF3">
      <w:pPr>
        <w:pStyle w:val="ListParagraph"/>
        <w:numPr>
          <w:ilvl w:val="2"/>
          <w:numId w:val="3"/>
        </w:numPr>
      </w:pPr>
      <w:r>
        <w:t>Information needed affects the care of the patient and/or the fetus during pregnancy</w:t>
      </w:r>
    </w:p>
    <w:p w14:paraId="6CDF3B84" w14:textId="08E67A77" w:rsidR="00D76EF3" w:rsidRDefault="00D76EF3" w:rsidP="00D76EF3">
      <w:pPr>
        <w:pStyle w:val="ListParagraph"/>
        <w:numPr>
          <w:ilvl w:val="2"/>
          <w:numId w:val="3"/>
        </w:numPr>
      </w:pPr>
      <w:r>
        <w:t xml:space="preserve">The referring physician is of the opinion it is not prudent to wait until after the patient is no longer </w:t>
      </w:r>
      <w:r w:rsidR="00CD0D86">
        <w:t>pregnant</w:t>
      </w:r>
    </w:p>
    <w:p w14:paraId="3F94B89B" w14:textId="16AC1713" w:rsidR="00D76EF3" w:rsidRDefault="00D76EF3" w:rsidP="00D76EF3">
      <w:pPr>
        <w:pStyle w:val="ListParagraph"/>
        <w:numPr>
          <w:ilvl w:val="1"/>
          <w:numId w:val="3"/>
        </w:numPr>
      </w:pPr>
      <w:r>
        <w:t>Informed consent must be obtained by the referring physician</w:t>
      </w:r>
    </w:p>
    <w:p w14:paraId="4E6FCB70" w14:textId="77777777" w:rsidR="00C657D1" w:rsidRDefault="00C657D1" w:rsidP="00C657D1">
      <w:pPr>
        <w:pStyle w:val="ListParagraph"/>
        <w:ind w:left="1440"/>
      </w:pPr>
    </w:p>
    <w:p w14:paraId="0E53A677" w14:textId="25971708" w:rsidR="008643D6" w:rsidRPr="0062657F" w:rsidRDefault="008643D6" w:rsidP="008643D6">
      <w:pPr>
        <w:rPr>
          <w:u w:val="single"/>
        </w:rPr>
      </w:pPr>
      <w:r w:rsidRPr="0062657F">
        <w:rPr>
          <w:u w:val="single"/>
        </w:rPr>
        <w:t>Breast-feeding patients</w:t>
      </w:r>
    </w:p>
    <w:p w14:paraId="3A550257" w14:textId="606091CD" w:rsidR="008643D6" w:rsidRDefault="008643D6" w:rsidP="008643D6">
      <w:pPr>
        <w:pStyle w:val="ListParagraph"/>
        <w:numPr>
          <w:ilvl w:val="0"/>
          <w:numId w:val="4"/>
        </w:numPr>
      </w:pPr>
      <w:r>
        <w:t xml:space="preserve">Iodinated contrast: </w:t>
      </w:r>
      <w:r w:rsidR="0041658B">
        <w:t>Available data suggests it is safe to continue breastfeeding given the very small percentage (&lt;0.01%) of contrast medium that is excreted into breast milk and absorbed by the infant gut.</w:t>
      </w:r>
    </w:p>
    <w:p w14:paraId="63F3DA69" w14:textId="783A902A" w:rsidR="0041658B" w:rsidRDefault="0041658B" w:rsidP="008643D6">
      <w:pPr>
        <w:pStyle w:val="ListParagraph"/>
        <w:numPr>
          <w:ilvl w:val="0"/>
          <w:numId w:val="4"/>
        </w:numPr>
      </w:pPr>
      <w:r>
        <w:t>Gadolinium-based contrast: Available data suggests it is safe to continue breastfeeding given the very small percentage (&lt;0.0004%) of contrast medium that is excreted into breast milk and absorbed by the infant gut.</w:t>
      </w:r>
    </w:p>
    <w:p w14:paraId="5E23CB58" w14:textId="468EFD64" w:rsidR="0041658B" w:rsidRDefault="0041658B" w:rsidP="008643D6">
      <w:pPr>
        <w:pStyle w:val="ListParagraph"/>
        <w:numPr>
          <w:ilvl w:val="0"/>
          <w:numId w:val="4"/>
        </w:numPr>
      </w:pPr>
      <w:r>
        <w:t xml:space="preserve">If the mother remains concerned, she may </w:t>
      </w:r>
      <w:r w:rsidR="00F6328C">
        <w:t>discard pumped</w:t>
      </w:r>
      <w:r>
        <w:t xml:space="preserve"> </w:t>
      </w:r>
      <w:r w:rsidR="00F6328C">
        <w:t>breastmilk</w:t>
      </w:r>
      <w:r>
        <w:t xml:space="preserve"> from the time of contrast administration for a period of 12 to 24 hours. </w:t>
      </w:r>
    </w:p>
    <w:p w14:paraId="7A8CB3CB" w14:textId="02DA6AC9" w:rsidR="008643D6" w:rsidRDefault="008643D6" w:rsidP="008643D6">
      <w:r>
        <w:tab/>
      </w:r>
    </w:p>
    <w:p w14:paraId="00B96FBF" w14:textId="77777777" w:rsidR="00A121A0" w:rsidRPr="003273B3" w:rsidRDefault="00A121A0" w:rsidP="00A121A0"/>
    <w:sectPr w:rsidR="00A121A0" w:rsidRPr="003273B3" w:rsidSect="008B31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15AB"/>
    <w:multiLevelType w:val="hybridMultilevel"/>
    <w:tmpl w:val="8AFC8B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345EE"/>
    <w:multiLevelType w:val="hybridMultilevel"/>
    <w:tmpl w:val="4804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604B3"/>
    <w:multiLevelType w:val="hybridMultilevel"/>
    <w:tmpl w:val="25F6A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92FAB"/>
    <w:multiLevelType w:val="hybridMultilevel"/>
    <w:tmpl w:val="1C1CB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4E3A77"/>
    <w:multiLevelType w:val="hybridMultilevel"/>
    <w:tmpl w:val="8772A0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904415">
    <w:abstractNumId w:val="0"/>
  </w:num>
  <w:num w:numId="2" w16cid:durableId="1654525842">
    <w:abstractNumId w:val="2"/>
  </w:num>
  <w:num w:numId="3" w16cid:durableId="826092373">
    <w:abstractNumId w:val="3"/>
  </w:num>
  <w:num w:numId="4" w16cid:durableId="121850275">
    <w:abstractNumId w:val="1"/>
  </w:num>
  <w:num w:numId="5" w16cid:durableId="343047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E7"/>
    <w:rsid w:val="00005652"/>
    <w:rsid w:val="000E3E63"/>
    <w:rsid w:val="001352AD"/>
    <w:rsid w:val="0013537C"/>
    <w:rsid w:val="001478AE"/>
    <w:rsid w:val="00186A5F"/>
    <w:rsid w:val="00205223"/>
    <w:rsid w:val="002646CE"/>
    <w:rsid w:val="0029486E"/>
    <w:rsid w:val="003273B3"/>
    <w:rsid w:val="003B735E"/>
    <w:rsid w:val="003C2C52"/>
    <w:rsid w:val="004069A5"/>
    <w:rsid w:val="0041658B"/>
    <w:rsid w:val="004A5F39"/>
    <w:rsid w:val="00587843"/>
    <w:rsid w:val="006139B0"/>
    <w:rsid w:val="00624BCB"/>
    <w:rsid w:val="0062657F"/>
    <w:rsid w:val="006C6507"/>
    <w:rsid w:val="007055B7"/>
    <w:rsid w:val="00766E56"/>
    <w:rsid w:val="007B119C"/>
    <w:rsid w:val="008643D6"/>
    <w:rsid w:val="0089224C"/>
    <w:rsid w:val="00895F17"/>
    <w:rsid w:val="008B319C"/>
    <w:rsid w:val="009E1B9D"/>
    <w:rsid w:val="00A121A0"/>
    <w:rsid w:val="00AB21F0"/>
    <w:rsid w:val="00BA74FE"/>
    <w:rsid w:val="00C54824"/>
    <w:rsid w:val="00C657D1"/>
    <w:rsid w:val="00C77416"/>
    <w:rsid w:val="00CD0D86"/>
    <w:rsid w:val="00D17374"/>
    <w:rsid w:val="00D35DA5"/>
    <w:rsid w:val="00D76EF3"/>
    <w:rsid w:val="00DB711F"/>
    <w:rsid w:val="00DE7CD3"/>
    <w:rsid w:val="00F05582"/>
    <w:rsid w:val="00F40CC0"/>
    <w:rsid w:val="00F6328C"/>
    <w:rsid w:val="00FA01E7"/>
    <w:rsid w:val="00FA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D3A2"/>
  <w15:chartTrackingRefBased/>
  <w15:docId w15:val="{72DF9324-2AA8-421A-B214-9D62135E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1E7"/>
    <w:rPr>
      <w:rFonts w:eastAsiaTheme="majorEastAsia" w:cstheme="majorBidi"/>
      <w:color w:val="272727" w:themeColor="text1" w:themeTint="D8"/>
    </w:rPr>
  </w:style>
  <w:style w:type="paragraph" w:styleId="Title">
    <w:name w:val="Title"/>
    <w:basedOn w:val="Normal"/>
    <w:next w:val="Normal"/>
    <w:link w:val="TitleChar"/>
    <w:uiPriority w:val="10"/>
    <w:qFormat/>
    <w:rsid w:val="00FA0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1E7"/>
    <w:pPr>
      <w:spacing w:before="160"/>
      <w:jc w:val="center"/>
    </w:pPr>
    <w:rPr>
      <w:i/>
      <w:iCs/>
      <w:color w:val="404040" w:themeColor="text1" w:themeTint="BF"/>
    </w:rPr>
  </w:style>
  <w:style w:type="character" w:customStyle="1" w:styleId="QuoteChar">
    <w:name w:val="Quote Char"/>
    <w:basedOn w:val="DefaultParagraphFont"/>
    <w:link w:val="Quote"/>
    <w:uiPriority w:val="29"/>
    <w:rsid w:val="00FA01E7"/>
    <w:rPr>
      <w:i/>
      <w:iCs/>
      <w:color w:val="404040" w:themeColor="text1" w:themeTint="BF"/>
    </w:rPr>
  </w:style>
  <w:style w:type="paragraph" w:styleId="ListParagraph">
    <w:name w:val="List Paragraph"/>
    <w:basedOn w:val="Normal"/>
    <w:uiPriority w:val="34"/>
    <w:qFormat/>
    <w:rsid w:val="00FA01E7"/>
    <w:pPr>
      <w:ind w:left="720"/>
      <w:contextualSpacing/>
    </w:pPr>
  </w:style>
  <w:style w:type="character" w:styleId="IntenseEmphasis">
    <w:name w:val="Intense Emphasis"/>
    <w:basedOn w:val="DefaultParagraphFont"/>
    <w:uiPriority w:val="21"/>
    <w:qFormat/>
    <w:rsid w:val="00FA01E7"/>
    <w:rPr>
      <w:i/>
      <w:iCs/>
      <w:color w:val="0F4761" w:themeColor="accent1" w:themeShade="BF"/>
    </w:rPr>
  </w:style>
  <w:style w:type="paragraph" w:styleId="IntenseQuote">
    <w:name w:val="Intense Quote"/>
    <w:basedOn w:val="Normal"/>
    <w:next w:val="Normal"/>
    <w:link w:val="IntenseQuoteChar"/>
    <w:uiPriority w:val="30"/>
    <w:qFormat/>
    <w:rsid w:val="00FA0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1E7"/>
    <w:rPr>
      <w:i/>
      <w:iCs/>
      <w:color w:val="0F4761" w:themeColor="accent1" w:themeShade="BF"/>
    </w:rPr>
  </w:style>
  <w:style w:type="character" w:styleId="IntenseReference">
    <w:name w:val="Intense Reference"/>
    <w:basedOn w:val="DefaultParagraphFont"/>
    <w:uiPriority w:val="32"/>
    <w:qFormat/>
    <w:rsid w:val="00FA01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Monahan</dc:creator>
  <cp:keywords/>
  <dc:description/>
  <cp:lastModifiedBy>Hannah Monahan</cp:lastModifiedBy>
  <cp:revision>10</cp:revision>
  <dcterms:created xsi:type="dcterms:W3CDTF">2026-02-17T21:09:00Z</dcterms:created>
  <dcterms:modified xsi:type="dcterms:W3CDTF">2026-02-27T17:23:00Z</dcterms:modified>
</cp:coreProperties>
</file>