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7930E" w14:textId="77777777" w:rsidR="00CF53DA" w:rsidRDefault="00CF53DA" w:rsidP="00CF53DA">
      <w:pPr>
        <w:pBdr>
          <w:bottom w:val="single" w:sz="6" w:space="1" w:color="auto"/>
        </w:pBdr>
        <w:spacing w:after="0" w:line="240" w:lineRule="auto"/>
      </w:pPr>
    </w:p>
    <w:p w14:paraId="5C116995" w14:textId="7304866D" w:rsidR="00CF53DA" w:rsidRPr="008A43F8" w:rsidRDefault="00FD2814" w:rsidP="00CF53DA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IRON INFUSION </w:t>
      </w:r>
      <w:r w:rsidR="00CF53DA" w:rsidRPr="008A43F8">
        <w:rPr>
          <w:b/>
          <w:bCs/>
        </w:rPr>
        <w:t>POLICY UPDATE</w:t>
      </w:r>
    </w:p>
    <w:p w14:paraId="230C6FBE" w14:textId="38DB5840" w:rsidR="00CF53DA" w:rsidRDefault="00397CE4" w:rsidP="00CF53DA">
      <w:pPr>
        <w:pBdr>
          <w:bottom w:val="single" w:sz="6" w:space="1" w:color="auto"/>
        </w:pBd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07/16/2025</w:t>
      </w:r>
    </w:p>
    <w:p w14:paraId="2F27941B" w14:textId="77777777" w:rsidR="00CF53DA" w:rsidRDefault="00CF53DA" w:rsidP="00CF53DA">
      <w:pPr>
        <w:spacing w:after="0" w:line="240" w:lineRule="auto"/>
        <w:jc w:val="center"/>
        <w:rPr>
          <w:sz w:val="20"/>
          <w:szCs w:val="20"/>
        </w:rPr>
      </w:pPr>
    </w:p>
    <w:p w14:paraId="1C699F9C" w14:textId="72A1B5A1" w:rsidR="00CF53DA" w:rsidRPr="008A43F8" w:rsidRDefault="00CF53DA" w:rsidP="00CF53DA">
      <w:pPr>
        <w:spacing w:after="0" w:line="240" w:lineRule="auto"/>
      </w:pPr>
      <w:r w:rsidRPr="008A43F8">
        <w:t>To:</w:t>
      </w:r>
      <w:r w:rsidRPr="008A43F8">
        <w:tab/>
        <w:t>Mercy</w:t>
      </w:r>
      <w:r w:rsidR="00BC45F6">
        <w:t xml:space="preserve"> and </w:t>
      </w:r>
      <w:r w:rsidRPr="008A43F8">
        <w:t>St. Luke’s Cedar Rapids</w:t>
      </w:r>
      <w:r w:rsidR="00BC45F6">
        <w:t xml:space="preserve">, Affiliate Sites </w:t>
      </w:r>
      <w:r w:rsidRPr="008A43F8">
        <w:t>Radiology Department Managers and MRI Technologists</w:t>
      </w:r>
    </w:p>
    <w:p w14:paraId="1B1CE84F" w14:textId="77777777" w:rsidR="00CF53DA" w:rsidRPr="008A43F8" w:rsidRDefault="00CF53DA" w:rsidP="00CF53DA">
      <w:pPr>
        <w:spacing w:after="0" w:line="240" w:lineRule="auto"/>
      </w:pPr>
      <w:r w:rsidRPr="008A43F8">
        <w:t>From:</w:t>
      </w:r>
      <w:r w:rsidRPr="008A43F8">
        <w:tab/>
        <w:t>Hannah Monahan MD, MRMD</w:t>
      </w:r>
    </w:p>
    <w:p w14:paraId="3F08E0DC" w14:textId="0711865A" w:rsidR="00CF53DA" w:rsidRPr="008A43F8" w:rsidRDefault="00CF53DA" w:rsidP="00CF53DA">
      <w:pPr>
        <w:spacing w:after="0" w:line="240" w:lineRule="auto"/>
      </w:pPr>
      <w:r w:rsidRPr="008A43F8">
        <w:t>Date:</w:t>
      </w:r>
      <w:r w:rsidRPr="008A43F8">
        <w:tab/>
      </w:r>
      <w:r w:rsidR="00397CE4">
        <w:t>07/16/2025</w:t>
      </w:r>
    </w:p>
    <w:p w14:paraId="52A740AC" w14:textId="77777777" w:rsidR="00CF53DA" w:rsidRPr="008A43F8" w:rsidRDefault="00CF53DA" w:rsidP="00CF53DA">
      <w:pPr>
        <w:spacing w:after="0" w:line="240" w:lineRule="auto"/>
      </w:pPr>
    </w:p>
    <w:p w14:paraId="7568DDC6" w14:textId="52C4190D" w:rsidR="00CF53DA" w:rsidRPr="008A43F8" w:rsidRDefault="00B25BD6" w:rsidP="00CF53DA">
      <w:pPr>
        <w:spacing w:after="0" w:line="240" w:lineRule="auto"/>
      </w:pPr>
      <w:r>
        <w:t>Policy</w:t>
      </w:r>
      <w:r w:rsidR="00CF53DA" w:rsidRPr="008A43F8">
        <w:t>:</w:t>
      </w:r>
    </w:p>
    <w:p w14:paraId="5310E638" w14:textId="77777777" w:rsidR="00CF53DA" w:rsidRPr="008A43F8" w:rsidRDefault="00CF53DA" w:rsidP="00CF53DA">
      <w:pPr>
        <w:spacing w:after="0" w:line="240" w:lineRule="auto"/>
      </w:pPr>
    </w:p>
    <w:p w14:paraId="194191A9" w14:textId="128F037E" w:rsidR="003C69EC" w:rsidRDefault="00B25BD6" w:rsidP="00CF53DA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Patients should be screened for </w:t>
      </w:r>
      <w:r w:rsidR="008B3D84">
        <w:rPr>
          <w:b/>
          <w:bCs/>
          <w:sz w:val="24"/>
          <w:szCs w:val="24"/>
        </w:rPr>
        <w:t>i</w:t>
      </w:r>
      <w:r w:rsidR="003C69EC">
        <w:rPr>
          <w:b/>
          <w:bCs/>
          <w:sz w:val="24"/>
          <w:szCs w:val="24"/>
        </w:rPr>
        <w:t xml:space="preserve">ntravenous iron infusion </w:t>
      </w:r>
      <w:r w:rsidR="00846676">
        <w:rPr>
          <w:b/>
          <w:bCs/>
          <w:sz w:val="24"/>
          <w:szCs w:val="24"/>
        </w:rPr>
        <w:t>in the three months</w:t>
      </w:r>
      <w:r w:rsidR="000A6836">
        <w:rPr>
          <w:b/>
          <w:bCs/>
          <w:sz w:val="24"/>
          <w:szCs w:val="24"/>
        </w:rPr>
        <w:t xml:space="preserve"> </w:t>
      </w:r>
      <w:r w:rsidR="00A020FB">
        <w:rPr>
          <w:b/>
          <w:bCs/>
          <w:sz w:val="24"/>
          <w:szCs w:val="24"/>
        </w:rPr>
        <w:t>preceding an</w:t>
      </w:r>
      <w:r w:rsidR="00941D2E">
        <w:rPr>
          <w:b/>
          <w:bCs/>
          <w:sz w:val="24"/>
          <w:szCs w:val="24"/>
        </w:rPr>
        <w:t xml:space="preserve"> </w:t>
      </w:r>
      <w:r w:rsidR="003C69EC">
        <w:rPr>
          <w:b/>
          <w:bCs/>
          <w:sz w:val="24"/>
          <w:szCs w:val="24"/>
        </w:rPr>
        <w:t xml:space="preserve">MRI </w:t>
      </w:r>
      <w:r w:rsidR="000A6836">
        <w:rPr>
          <w:b/>
          <w:bCs/>
          <w:sz w:val="24"/>
          <w:szCs w:val="24"/>
        </w:rPr>
        <w:t>examination due</w:t>
      </w:r>
      <w:r w:rsidR="00C50CE8">
        <w:rPr>
          <w:b/>
          <w:bCs/>
          <w:sz w:val="24"/>
          <w:szCs w:val="24"/>
        </w:rPr>
        <w:t xml:space="preserve"> to</w:t>
      </w:r>
      <w:r w:rsidR="000A6836">
        <w:rPr>
          <w:b/>
          <w:bCs/>
          <w:sz w:val="24"/>
          <w:szCs w:val="24"/>
        </w:rPr>
        <w:t xml:space="preserve"> inherent</w:t>
      </w:r>
      <w:r w:rsidR="00CB5409">
        <w:rPr>
          <w:b/>
          <w:bCs/>
          <w:sz w:val="24"/>
          <w:szCs w:val="24"/>
        </w:rPr>
        <w:t xml:space="preserve"> </w:t>
      </w:r>
      <w:r w:rsidR="00FE7987">
        <w:rPr>
          <w:b/>
          <w:bCs/>
          <w:sz w:val="24"/>
          <w:szCs w:val="24"/>
        </w:rPr>
        <w:t>paramagnetic</w:t>
      </w:r>
      <w:r w:rsidR="00146121">
        <w:rPr>
          <w:b/>
          <w:bCs/>
          <w:sz w:val="24"/>
          <w:szCs w:val="24"/>
        </w:rPr>
        <w:t xml:space="preserve"> </w:t>
      </w:r>
      <w:r w:rsidR="00FE7987">
        <w:rPr>
          <w:b/>
          <w:bCs/>
          <w:sz w:val="24"/>
          <w:szCs w:val="24"/>
        </w:rPr>
        <w:t>properties</w:t>
      </w:r>
      <w:r w:rsidR="000A6836">
        <w:rPr>
          <w:b/>
          <w:bCs/>
          <w:sz w:val="24"/>
          <w:szCs w:val="24"/>
        </w:rPr>
        <w:t xml:space="preserve"> of </w:t>
      </w:r>
      <w:r w:rsidR="00FE7987">
        <w:rPr>
          <w:b/>
          <w:bCs/>
          <w:sz w:val="24"/>
          <w:szCs w:val="24"/>
        </w:rPr>
        <w:t>the medication</w:t>
      </w:r>
      <w:r w:rsidR="00146121">
        <w:rPr>
          <w:b/>
          <w:bCs/>
          <w:sz w:val="24"/>
          <w:szCs w:val="24"/>
        </w:rPr>
        <w:t xml:space="preserve"> </w:t>
      </w:r>
      <w:r w:rsidR="00380FC8">
        <w:rPr>
          <w:b/>
          <w:bCs/>
          <w:sz w:val="24"/>
          <w:szCs w:val="24"/>
        </w:rPr>
        <w:t>that</w:t>
      </w:r>
      <w:r w:rsidR="00941D2E">
        <w:rPr>
          <w:b/>
          <w:bCs/>
          <w:sz w:val="24"/>
          <w:szCs w:val="24"/>
        </w:rPr>
        <w:t xml:space="preserve"> </w:t>
      </w:r>
      <w:r w:rsidR="00846676">
        <w:rPr>
          <w:b/>
          <w:bCs/>
          <w:sz w:val="24"/>
          <w:szCs w:val="24"/>
        </w:rPr>
        <w:t xml:space="preserve">may </w:t>
      </w:r>
      <w:r w:rsidR="00380FC8">
        <w:rPr>
          <w:b/>
          <w:bCs/>
          <w:sz w:val="24"/>
          <w:szCs w:val="24"/>
        </w:rPr>
        <w:t xml:space="preserve">alter T1, T2 and T2* weighted </w:t>
      </w:r>
      <w:r w:rsidR="00941D2E">
        <w:rPr>
          <w:b/>
          <w:bCs/>
          <w:sz w:val="24"/>
          <w:szCs w:val="24"/>
        </w:rPr>
        <w:t>sequences</w:t>
      </w:r>
      <w:r w:rsidR="004B646F">
        <w:rPr>
          <w:b/>
          <w:bCs/>
          <w:sz w:val="24"/>
          <w:szCs w:val="24"/>
        </w:rPr>
        <w:t xml:space="preserve"> and therefore require specific wait periods prior to </w:t>
      </w:r>
      <w:r w:rsidR="00A22C1B">
        <w:rPr>
          <w:b/>
          <w:bCs/>
          <w:sz w:val="24"/>
          <w:szCs w:val="24"/>
        </w:rPr>
        <w:t xml:space="preserve">MR </w:t>
      </w:r>
      <w:r w:rsidR="004B646F">
        <w:rPr>
          <w:b/>
          <w:bCs/>
          <w:sz w:val="24"/>
          <w:szCs w:val="24"/>
        </w:rPr>
        <w:t>imaging.</w:t>
      </w:r>
    </w:p>
    <w:p w14:paraId="68C0CE53" w14:textId="3E00F5F5" w:rsidR="00CF53DA" w:rsidRDefault="003C69EC" w:rsidP="00941D2E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14:paraId="0205B308" w14:textId="532119CE" w:rsidR="00CF53DA" w:rsidRDefault="00CF53DA" w:rsidP="00CF53DA">
      <w:pPr>
        <w:spacing w:after="0" w:line="240" w:lineRule="auto"/>
      </w:pPr>
      <w:r w:rsidRPr="008A43F8">
        <w:t>Rationale:</w:t>
      </w:r>
      <w:r w:rsidR="00BC45F6">
        <w:t xml:space="preserve"> </w:t>
      </w:r>
      <w:r w:rsidR="002B33B1">
        <w:t xml:space="preserve">Intravenous Iron infusions are </w:t>
      </w:r>
      <w:r w:rsidR="006B7498">
        <w:t>often</w:t>
      </w:r>
      <w:r w:rsidR="002B33B1">
        <w:t xml:space="preserve"> </w:t>
      </w:r>
      <w:r w:rsidR="007C31B5">
        <w:t>administered to</w:t>
      </w:r>
      <w:r w:rsidR="002B33B1">
        <w:t xml:space="preserve"> patients with severe iron deficiency anemia who are unable to absorb oral iron (celiac disease, gastric bypass, inflammatory bowel disease), or who lose blood rapidly (GI bleed, menorrhagia). </w:t>
      </w:r>
      <w:r w:rsidR="00CB35A3">
        <w:t>Similarly, ir</w:t>
      </w:r>
      <w:r w:rsidR="000D78F6">
        <w:t xml:space="preserve">on infusions are </w:t>
      </w:r>
      <w:r w:rsidR="006B7498">
        <w:t>commonly</w:t>
      </w:r>
      <w:r w:rsidR="000D78F6">
        <w:t xml:space="preserve"> </w:t>
      </w:r>
      <w:r w:rsidR="004D7AF9">
        <w:t xml:space="preserve">used in combination with erythropoiesis-stimulating agents to correct dialysis-associated anemia in patients with end stage renal </w:t>
      </w:r>
      <w:r w:rsidR="00CB35A3">
        <w:t>disease</w:t>
      </w:r>
      <w:r w:rsidR="00083BCF">
        <w:t>.</w:t>
      </w:r>
    </w:p>
    <w:p w14:paraId="55D2C532" w14:textId="77777777" w:rsidR="006B7498" w:rsidRDefault="006B7498" w:rsidP="00CF53DA">
      <w:pPr>
        <w:spacing w:after="0" w:line="240" w:lineRule="auto"/>
      </w:pPr>
    </w:p>
    <w:p w14:paraId="05A2BE9D" w14:textId="02BADBA5" w:rsidR="00AD3E2B" w:rsidRDefault="00397BC8" w:rsidP="00CF53DA">
      <w:pPr>
        <w:spacing w:after="0" w:line="240" w:lineRule="auto"/>
      </w:pPr>
      <w:r>
        <w:t>It</w:t>
      </w:r>
      <w:r w:rsidR="00FA6395">
        <w:t xml:space="preserve"> is important to identify the type of intravenous iron patients have or will receive prior to any MRI examination as some forms </w:t>
      </w:r>
      <w:r w:rsidR="0043517A">
        <w:t xml:space="preserve">can significantly alter </w:t>
      </w:r>
      <w:r>
        <w:t>MR images</w:t>
      </w:r>
      <w:r w:rsidR="0043517A">
        <w:t xml:space="preserve"> due to inherent paramagnetic properties</w:t>
      </w:r>
      <w:r w:rsidR="00563FF9">
        <w:t>. Furthermore, the</w:t>
      </w:r>
      <w:r w:rsidR="0043517A">
        <w:t xml:space="preserve"> </w:t>
      </w:r>
      <w:r w:rsidR="00563FF9">
        <w:t>relatively</w:t>
      </w:r>
      <w:r w:rsidR="00AD3E2B">
        <w:t xml:space="preserve"> long half-</w:t>
      </w:r>
      <w:r w:rsidR="00563FF9">
        <w:t>lives of several infusions may result in further imaging delay</w:t>
      </w:r>
      <w:r w:rsidR="00AD3E2B">
        <w:t>.</w:t>
      </w:r>
      <w:r w:rsidR="000E7B28">
        <w:t xml:space="preserve"> </w:t>
      </w:r>
      <w:r w:rsidR="00D073B7">
        <w:t>The table below contains</w:t>
      </w:r>
      <w:r w:rsidR="00656C07">
        <w:t xml:space="preserve"> information regarding</w:t>
      </w:r>
      <w:r w:rsidR="00D073B7">
        <w:t xml:space="preserve"> several forms of intravenous iron </w:t>
      </w:r>
      <w:r w:rsidR="00656C07">
        <w:t>currently available, if they have effects on MR imaging</w:t>
      </w:r>
      <w:r>
        <w:t xml:space="preserve"> and recommended wait times between administration and MR examination</w:t>
      </w:r>
      <w:r w:rsidR="000E7B28">
        <w:t>:</w:t>
      </w:r>
    </w:p>
    <w:p w14:paraId="7E211BEC" w14:textId="3BAFEA6A" w:rsidR="00656C07" w:rsidRDefault="002A54E8" w:rsidP="00CF53DA">
      <w:pPr>
        <w:spacing w:after="0" w:line="240" w:lineRule="auto"/>
      </w:pPr>
      <w:r w:rsidRPr="00656C07">
        <w:rPr>
          <w:noProof/>
        </w:rPr>
        <w:drawing>
          <wp:anchor distT="0" distB="0" distL="114300" distR="114300" simplePos="0" relativeHeight="251658240" behindDoc="0" locked="0" layoutInCell="1" allowOverlap="1" wp14:anchorId="2605B3FD" wp14:editId="0FA602C1">
            <wp:simplePos x="0" y="0"/>
            <wp:positionH relativeFrom="margin">
              <wp:align>center</wp:align>
            </wp:positionH>
            <wp:positionV relativeFrom="paragraph">
              <wp:posOffset>11397</wp:posOffset>
            </wp:positionV>
            <wp:extent cx="6768662" cy="2348977"/>
            <wp:effectExtent l="0" t="0" r="0" b="0"/>
            <wp:wrapNone/>
            <wp:docPr id="563436875" name="Picture 1" descr="A close-up of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3436875" name="Picture 1" descr="A close-up of a white background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8662" cy="23489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BFE209" w14:textId="653F4870" w:rsidR="00656C07" w:rsidRDefault="00656C07" w:rsidP="00500CF6">
      <w:pPr>
        <w:spacing w:after="0" w:line="240" w:lineRule="auto"/>
        <w:jc w:val="center"/>
      </w:pPr>
    </w:p>
    <w:p w14:paraId="100FFD4F" w14:textId="77777777" w:rsidR="00656C07" w:rsidRDefault="00656C07" w:rsidP="00CF53DA">
      <w:pPr>
        <w:spacing w:after="0" w:line="240" w:lineRule="auto"/>
      </w:pPr>
    </w:p>
    <w:p w14:paraId="4D872DEF" w14:textId="77777777" w:rsidR="00500CF6" w:rsidRDefault="00500CF6" w:rsidP="00500CF6">
      <w:pPr>
        <w:spacing w:after="0" w:line="240" w:lineRule="auto"/>
      </w:pPr>
    </w:p>
    <w:p w14:paraId="72548EF9" w14:textId="77777777" w:rsidR="00500CF6" w:rsidRDefault="00500CF6" w:rsidP="00500CF6">
      <w:pPr>
        <w:spacing w:after="0" w:line="240" w:lineRule="auto"/>
      </w:pPr>
    </w:p>
    <w:p w14:paraId="141FBA41" w14:textId="77777777" w:rsidR="00500CF6" w:rsidRDefault="00500CF6" w:rsidP="00500CF6">
      <w:pPr>
        <w:spacing w:after="0" w:line="240" w:lineRule="auto"/>
      </w:pPr>
    </w:p>
    <w:p w14:paraId="494ED776" w14:textId="77777777" w:rsidR="00500CF6" w:rsidRDefault="00500CF6" w:rsidP="00500CF6">
      <w:pPr>
        <w:spacing w:after="0" w:line="240" w:lineRule="auto"/>
      </w:pPr>
    </w:p>
    <w:p w14:paraId="2CA36AD0" w14:textId="77777777" w:rsidR="00500CF6" w:rsidRDefault="00500CF6" w:rsidP="00500CF6">
      <w:pPr>
        <w:spacing w:after="0" w:line="240" w:lineRule="auto"/>
      </w:pPr>
    </w:p>
    <w:p w14:paraId="46E77470" w14:textId="77777777" w:rsidR="00500CF6" w:rsidRDefault="00500CF6" w:rsidP="00500CF6">
      <w:pPr>
        <w:spacing w:after="0" w:line="240" w:lineRule="auto"/>
      </w:pPr>
    </w:p>
    <w:p w14:paraId="76349959" w14:textId="77777777" w:rsidR="00500CF6" w:rsidRDefault="00500CF6" w:rsidP="00500CF6">
      <w:pPr>
        <w:spacing w:after="0" w:line="240" w:lineRule="auto"/>
      </w:pPr>
    </w:p>
    <w:p w14:paraId="238A68A1" w14:textId="77777777" w:rsidR="00500CF6" w:rsidRDefault="00500CF6" w:rsidP="00500CF6">
      <w:pPr>
        <w:spacing w:after="0" w:line="240" w:lineRule="auto"/>
      </w:pPr>
    </w:p>
    <w:p w14:paraId="1E18BBBD" w14:textId="77777777" w:rsidR="00500CF6" w:rsidRDefault="00500CF6" w:rsidP="00500CF6">
      <w:pPr>
        <w:spacing w:after="0" w:line="240" w:lineRule="auto"/>
      </w:pPr>
    </w:p>
    <w:p w14:paraId="7CE33D02" w14:textId="77777777" w:rsidR="00500CF6" w:rsidRDefault="00500CF6" w:rsidP="00500CF6">
      <w:pPr>
        <w:spacing w:after="0" w:line="240" w:lineRule="auto"/>
      </w:pPr>
    </w:p>
    <w:p w14:paraId="02810199" w14:textId="77777777" w:rsidR="002A54E8" w:rsidRDefault="002A54E8" w:rsidP="00500CF6">
      <w:pPr>
        <w:spacing w:after="0" w:line="240" w:lineRule="auto"/>
      </w:pPr>
    </w:p>
    <w:p w14:paraId="33F4F49F" w14:textId="1C3398FE" w:rsidR="00764A2C" w:rsidRDefault="000E4E0E" w:rsidP="00500CF6">
      <w:pPr>
        <w:spacing w:after="0" w:line="240" w:lineRule="auto"/>
      </w:pPr>
      <w:r>
        <w:t>Given the above</w:t>
      </w:r>
      <w:r w:rsidR="008B3D84">
        <w:t xml:space="preserve"> information</w:t>
      </w:r>
      <w:r w:rsidR="00AF540C">
        <w:t xml:space="preserve">, </w:t>
      </w:r>
      <w:r w:rsidR="00A020FB">
        <w:t xml:space="preserve">the </w:t>
      </w:r>
      <w:r w:rsidR="00D73140">
        <w:t>following wait periods are recommended</w:t>
      </w:r>
      <w:r w:rsidR="00764A2C">
        <w:t xml:space="preserve"> </w:t>
      </w:r>
      <w:r w:rsidR="00D73140">
        <w:t>after</w:t>
      </w:r>
      <w:r w:rsidR="00764A2C">
        <w:t xml:space="preserve"> intravenous iron </w:t>
      </w:r>
      <w:r w:rsidR="00D73140">
        <w:t>administration</w:t>
      </w:r>
      <w:r w:rsidR="00764A2C">
        <w:t>:</w:t>
      </w:r>
    </w:p>
    <w:p w14:paraId="165D6C7C" w14:textId="77777777" w:rsidR="00764A2C" w:rsidRDefault="00764A2C" w:rsidP="00500CF6">
      <w:pPr>
        <w:spacing w:after="0" w:line="240" w:lineRule="auto"/>
      </w:pPr>
    </w:p>
    <w:p w14:paraId="41BD180C" w14:textId="35495927" w:rsidR="00561B56" w:rsidRDefault="00764A2C" w:rsidP="00500CF6">
      <w:pPr>
        <w:pStyle w:val="ListParagraph"/>
        <w:numPr>
          <w:ilvl w:val="0"/>
          <w:numId w:val="2"/>
        </w:numPr>
        <w:spacing w:after="0" w:line="240" w:lineRule="auto"/>
      </w:pPr>
      <w:r w:rsidRPr="008B3D84">
        <w:rPr>
          <w:u w:val="single"/>
        </w:rPr>
        <w:t>Routine outpatients</w:t>
      </w:r>
      <w:r>
        <w:t xml:space="preserve">: </w:t>
      </w:r>
      <w:r w:rsidR="000E7B28">
        <w:t>Technologists should reference the above table when scheduling patients for routine, outpatient MRI</w:t>
      </w:r>
      <w:r w:rsidR="00D046AD">
        <w:t xml:space="preserve">, noting that </w:t>
      </w:r>
      <w:r w:rsidR="001B4349">
        <w:t xml:space="preserve">a 3-month delay </w:t>
      </w:r>
      <w:r w:rsidR="006F0926">
        <w:t>is</w:t>
      </w:r>
      <w:r w:rsidR="001B4349">
        <w:t xml:space="preserve"> required </w:t>
      </w:r>
      <w:r w:rsidR="00D64A44">
        <w:t>after</w:t>
      </w:r>
      <w:r w:rsidR="00D046AD">
        <w:t xml:space="preserve"> Feraheme (Ferumoxytol) administration</w:t>
      </w:r>
      <w:r w:rsidR="00D64A44">
        <w:t>.</w:t>
      </w:r>
    </w:p>
    <w:p w14:paraId="00559A69" w14:textId="5189A454" w:rsidR="00B84F07" w:rsidRDefault="006F0926" w:rsidP="00500CF6">
      <w:pPr>
        <w:pStyle w:val="ListParagraph"/>
        <w:numPr>
          <w:ilvl w:val="0"/>
          <w:numId w:val="2"/>
        </w:numPr>
        <w:spacing w:after="0" w:line="240" w:lineRule="auto"/>
      </w:pPr>
      <w:r w:rsidRPr="008B3D84">
        <w:rPr>
          <w:u w:val="single"/>
        </w:rPr>
        <w:t>Expedited inpatients</w:t>
      </w:r>
      <w:r>
        <w:t xml:space="preserve">: </w:t>
      </w:r>
      <w:r w:rsidR="0056383E">
        <w:t xml:space="preserve">Recommend a 3 day wait period after administration given </w:t>
      </w:r>
      <w:r w:rsidR="00060146">
        <w:t xml:space="preserve">the </w:t>
      </w:r>
      <w:r w:rsidR="006539BF">
        <w:t xml:space="preserve">T1 shortening effects </w:t>
      </w:r>
      <w:r w:rsidR="00B11D48">
        <w:t>and resultant</w:t>
      </w:r>
      <w:r w:rsidR="006539BF">
        <w:t xml:space="preserve"> intravascular</w:t>
      </w:r>
      <w:r w:rsidR="00B414B8">
        <w:t xml:space="preserve"> </w:t>
      </w:r>
      <w:r w:rsidR="006539BF">
        <w:t>enhancement</w:t>
      </w:r>
      <w:r w:rsidR="00C71333">
        <w:t xml:space="preserve"> that</w:t>
      </w:r>
      <w:r w:rsidR="00CB36B8">
        <w:t xml:space="preserve"> </w:t>
      </w:r>
      <w:r w:rsidR="00246958">
        <w:t>may</w:t>
      </w:r>
      <w:r w:rsidR="00CB36B8">
        <w:t xml:space="preserve"> significantly limit accurate exam interpretation.</w:t>
      </w:r>
    </w:p>
    <w:p w14:paraId="5C0D2BC9" w14:textId="2D6A800D" w:rsidR="00B84F07" w:rsidRDefault="00B84F07" w:rsidP="00500CF6">
      <w:pPr>
        <w:pStyle w:val="ListParagraph"/>
        <w:numPr>
          <w:ilvl w:val="0"/>
          <w:numId w:val="2"/>
        </w:numPr>
        <w:spacing w:after="0" w:line="240" w:lineRule="auto"/>
      </w:pPr>
      <w:r w:rsidRPr="008B3D84">
        <w:rPr>
          <w:u w:val="single"/>
        </w:rPr>
        <w:t>Emergent patients</w:t>
      </w:r>
      <w:r>
        <w:t xml:space="preserve">: No wait time required, although the ordering provider should be </w:t>
      </w:r>
      <w:r w:rsidR="00246958">
        <w:t xml:space="preserve">made </w:t>
      </w:r>
      <w:r>
        <w:t xml:space="preserve">aware that there </w:t>
      </w:r>
      <w:r w:rsidR="00563FF9">
        <w:t>could</w:t>
      </w:r>
      <w:r>
        <w:t xml:space="preserve"> be significant limitations in exam interpretation</w:t>
      </w:r>
      <w:r w:rsidR="00246958">
        <w:t>.</w:t>
      </w:r>
    </w:p>
    <w:p w14:paraId="322209A9" w14:textId="77777777" w:rsidR="002A54E8" w:rsidRDefault="002A54E8" w:rsidP="002A54E8">
      <w:pPr>
        <w:pStyle w:val="ListParagraph"/>
        <w:spacing w:after="0" w:line="240" w:lineRule="auto"/>
      </w:pPr>
    </w:p>
    <w:p w14:paraId="46541A67" w14:textId="4A6615B4" w:rsidR="0029486E" w:rsidRDefault="00DA6C8C" w:rsidP="00500CF6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Sources:</w:t>
      </w:r>
    </w:p>
    <w:p w14:paraId="55390516" w14:textId="66B46229" w:rsidR="00DA6C8C" w:rsidRDefault="009F5044" w:rsidP="00500CF6">
      <w:pPr>
        <w:spacing w:line="240" w:lineRule="auto"/>
        <w:rPr>
          <w:sz w:val="18"/>
          <w:szCs w:val="18"/>
        </w:rPr>
      </w:pPr>
      <w:r w:rsidRPr="009F5044">
        <w:rPr>
          <w:sz w:val="18"/>
          <w:szCs w:val="18"/>
        </w:rPr>
        <w:t>Perry T, editor. Therapeutics Letter. Vancouver (BC): Therapeutics Initiative; 1994-. Letter 97, Intravenous (IV) iron for severe iron deficiency. 2015 Dec.</w:t>
      </w:r>
    </w:p>
    <w:p w14:paraId="5EB14315" w14:textId="3FA9653B" w:rsidR="009F5044" w:rsidRDefault="009A283C" w:rsidP="00500CF6">
      <w:pPr>
        <w:spacing w:line="240" w:lineRule="auto"/>
        <w:rPr>
          <w:sz w:val="18"/>
          <w:szCs w:val="18"/>
        </w:rPr>
      </w:pPr>
      <w:r w:rsidRPr="009A283C">
        <w:rPr>
          <w:sz w:val="18"/>
          <w:szCs w:val="18"/>
        </w:rPr>
        <w:t>McCullough, B.J., Kolokythas, O., Maki, J.H. and Green, D.E. (2013), Ferumoxytol in clinical practice: Implications for MRI. J. Magn. Reson. Imaging, 37: 1476-1479. </w:t>
      </w:r>
      <w:hyperlink r:id="rId6" w:history="1">
        <w:r w:rsidRPr="009A283C">
          <w:rPr>
            <w:rStyle w:val="Hyperlink"/>
            <w:sz w:val="18"/>
            <w:szCs w:val="18"/>
          </w:rPr>
          <w:t>https://doi.org/10.1002/jmri.23879</w:t>
        </w:r>
      </w:hyperlink>
    </w:p>
    <w:p w14:paraId="38820EB1" w14:textId="4307A0AC" w:rsidR="009A283C" w:rsidRPr="00DA6C8C" w:rsidRDefault="00083BCF" w:rsidP="00500CF6">
      <w:pPr>
        <w:spacing w:line="240" w:lineRule="auto"/>
        <w:rPr>
          <w:sz w:val="18"/>
          <w:szCs w:val="18"/>
        </w:rPr>
      </w:pPr>
      <w:r w:rsidRPr="00083BCF">
        <w:rPr>
          <w:sz w:val="18"/>
          <w:szCs w:val="18"/>
        </w:rPr>
        <w:t>Rostoker G, Cohen Y. Magnetic resonance imaging repercussions of intravenous iron products used for iron-deficiency anemia and dialysis-associated anemia. J Comput Assist Tomogr. 2014 Nov-Dec;38(6):843-4. doi: 10.1097/RCT.0000000000000146. PMID: 25229202.</w:t>
      </w:r>
    </w:p>
    <w:sectPr w:rsidR="009A283C" w:rsidRPr="00DA6C8C" w:rsidSect="00500CF6">
      <w:pgSz w:w="12240" w:h="15840"/>
      <w:pgMar w:top="720" w:right="720" w:bottom="187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877471"/>
    <w:multiLevelType w:val="hybridMultilevel"/>
    <w:tmpl w:val="36DCF1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075894"/>
    <w:multiLevelType w:val="hybridMultilevel"/>
    <w:tmpl w:val="CC1E33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8497369">
    <w:abstractNumId w:val="0"/>
  </w:num>
  <w:num w:numId="2" w16cid:durableId="365181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3DA"/>
    <w:rsid w:val="00057255"/>
    <w:rsid w:val="00060146"/>
    <w:rsid w:val="00083BCF"/>
    <w:rsid w:val="00093DC7"/>
    <w:rsid w:val="000A6836"/>
    <w:rsid w:val="000D78F6"/>
    <w:rsid w:val="000E4E0E"/>
    <w:rsid w:val="000E7B28"/>
    <w:rsid w:val="001025E9"/>
    <w:rsid w:val="001352AD"/>
    <w:rsid w:val="00146121"/>
    <w:rsid w:val="001B4349"/>
    <w:rsid w:val="001F672D"/>
    <w:rsid w:val="00211E64"/>
    <w:rsid w:val="0021731B"/>
    <w:rsid w:val="00246958"/>
    <w:rsid w:val="00283B23"/>
    <w:rsid w:val="0029486E"/>
    <w:rsid w:val="002A54E8"/>
    <w:rsid w:val="002B33B1"/>
    <w:rsid w:val="00311C73"/>
    <w:rsid w:val="00380FC8"/>
    <w:rsid w:val="00397BC8"/>
    <w:rsid w:val="00397CE4"/>
    <w:rsid w:val="003B735E"/>
    <w:rsid w:val="003C69EC"/>
    <w:rsid w:val="004069A5"/>
    <w:rsid w:val="0041078B"/>
    <w:rsid w:val="0043517A"/>
    <w:rsid w:val="004B4885"/>
    <w:rsid w:val="004B646F"/>
    <w:rsid w:val="004D7AF9"/>
    <w:rsid w:val="00500CF6"/>
    <w:rsid w:val="00507F39"/>
    <w:rsid w:val="00512627"/>
    <w:rsid w:val="00561B56"/>
    <w:rsid w:val="0056383E"/>
    <w:rsid w:val="00563FF9"/>
    <w:rsid w:val="00587843"/>
    <w:rsid w:val="00587E44"/>
    <w:rsid w:val="006169F6"/>
    <w:rsid w:val="006539BF"/>
    <w:rsid w:val="00656C07"/>
    <w:rsid w:val="006B7498"/>
    <w:rsid w:val="006F0926"/>
    <w:rsid w:val="00764A2C"/>
    <w:rsid w:val="007678F2"/>
    <w:rsid w:val="007C316D"/>
    <w:rsid w:val="007C31B5"/>
    <w:rsid w:val="00806559"/>
    <w:rsid w:val="00846676"/>
    <w:rsid w:val="008622E7"/>
    <w:rsid w:val="00881E89"/>
    <w:rsid w:val="008A31ED"/>
    <w:rsid w:val="008B3D84"/>
    <w:rsid w:val="00905DE1"/>
    <w:rsid w:val="00941D2E"/>
    <w:rsid w:val="00956BB6"/>
    <w:rsid w:val="00987488"/>
    <w:rsid w:val="009A283C"/>
    <w:rsid w:val="009F5044"/>
    <w:rsid w:val="00A020FB"/>
    <w:rsid w:val="00A12A4F"/>
    <w:rsid w:val="00A22230"/>
    <w:rsid w:val="00A22C1B"/>
    <w:rsid w:val="00AD226B"/>
    <w:rsid w:val="00AD3E2B"/>
    <w:rsid w:val="00AF540C"/>
    <w:rsid w:val="00B11D48"/>
    <w:rsid w:val="00B25BD6"/>
    <w:rsid w:val="00B32E62"/>
    <w:rsid w:val="00B414B8"/>
    <w:rsid w:val="00B43EB2"/>
    <w:rsid w:val="00B84F07"/>
    <w:rsid w:val="00BC45F6"/>
    <w:rsid w:val="00C17292"/>
    <w:rsid w:val="00C50CE8"/>
    <w:rsid w:val="00C71333"/>
    <w:rsid w:val="00CB35A3"/>
    <w:rsid w:val="00CB36B8"/>
    <w:rsid w:val="00CB5409"/>
    <w:rsid w:val="00CF53DA"/>
    <w:rsid w:val="00D046AD"/>
    <w:rsid w:val="00D073B7"/>
    <w:rsid w:val="00D64A44"/>
    <w:rsid w:val="00D73140"/>
    <w:rsid w:val="00DA6059"/>
    <w:rsid w:val="00DA6C8C"/>
    <w:rsid w:val="00DC01C8"/>
    <w:rsid w:val="00F03125"/>
    <w:rsid w:val="00F40F2C"/>
    <w:rsid w:val="00F73CE8"/>
    <w:rsid w:val="00FA6395"/>
    <w:rsid w:val="00FD2814"/>
    <w:rsid w:val="00FE7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71B7F2"/>
  <w15:chartTrackingRefBased/>
  <w15:docId w15:val="{98499554-90C8-41B8-B578-B4652F87B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53DA"/>
  </w:style>
  <w:style w:type="paragraph" w:styleId="Heading1">
    <w:name w:val="heading 1"/>
    <w:basedOn w:val="Normal"/>
    <w:next w:val="Normal"/>
    <w:link w:val="Heading1Char"/>
    <w:uiPriority w:val="9"/>
    <w:qFormat/>
    <w:rsid w:val="00CF53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53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53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53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53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53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53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53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53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53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53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53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53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53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53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53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53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53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53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53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53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53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53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53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53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53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53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53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53D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A283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28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1002/jmri.23879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Monahan</dc:creator>
  <cp:keywords/>
  <dc:description/>
  <cp:lastModifiedBy>Hannah Monahan</cp:lastModifiedBy>
  <cp:revision>3</cp:revision>
  <dcterms:created xsi:type="dcterms:W3CDTF">2025-07-17T14:42:00Z</dcterms:created>
  <dcterms:modified xsi:type="dcterms:W3CDTF">2026-02-03T19:51:00Z</dcterms:modified>
</cp:coreProperties>
</file>