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84C4" w14:textId="7809125A" w:rsidR="003465A6" w:rsidRPr="00AA23DE" w:rsidRDefault="00FA07D5" w:rsidP="008D1BCA">
      <w:pPr>
        <w:spacing w:line="240" w:lineRule="auto"/>
        <w:jc w:val="center"/>
        <w:rPr>
          <w:sz w:val="24"/>
          <w:szCs w:val="24"/>
        </w:rPr>
      </w:pPr>
      <w:r w:rsidRPr="00AA23DE">
        <w:rPr>
          <w:sz w:val="24"/>
          <w:szCs w:val="24"/>
        </w:rPr>
        <w:t>Implants,</w:t>
      </w:r>
      <w:r w:rsidR="003465A6" w:rsidRPr="00AA23DE">
        <w:rPr>
          <w:sz w:val="24"/>
          <w:szCs w:val="24"/>
        </w:rPr>
        <w:t xml:space="preserve"> devices and foreign bodies</w:t>
      </w:r>
    </w:p>
    <w:p w14:paraId="6C5F80F8" w14:textId="03477473" w:rsidR="00FA07D5" w:rsidRDefault="00FA07D5" w:rsidP="008D1BCA">
      <w:pPr>
        <w:pStyle w:val="ListParagraph"/>
        <w:numPr>
          <w:ilvl w:val="0"/>
          <w:numId w:val="1"/>
        </w:numPr>
        <w:spacing w:line="240" w:lineRule="auto"/>
      </w:pPr>
      <w:r>
        <w:t>See</w:t>
      </w:r>
      <w:r w:rsidR="00AA23DE">
        <w:t xml:space="preserve"> </w:t>
      </w:r>
      <w:r>
        <w:t xml:space="preserve">flow charts </w:t>
      </w:r>
      <w:r w:rsidR="00A83DD1">
        <w:t xml:space="preserve">below </w:t>
      </w:r>
      <w:r>
        <w:t xml:space="preserve">to address patient reported implants, devices </w:t>
      </w:r>
      <w:r w:rsidR="00A83DD1">
        <w:t>or</w:t>
      </w:r>
      <w:r>
        <w:t xml:space="preserve"> foreign bodies </w:t>
      </w:r>
    </w:p>
    <w:p w14:paraId="3A5E3E3C" w14:textId="65817811" w:rsidR="00FA07D5" w:rsidRDefault="00FA07D5" w:rsidP="008D1BCA">
      <w:pPr>
        <w:pStyle w:val="ListParagraph"/>
        <w:numPr>
          <w:ilvl w:val="1"/>
          <w:numId w:val="1"/>
        </w:numPr>
        <w:spacing w:line="240" w:lineRule="auto"/>
      </w:pPr>
      <w:r>
        <w:t xml:space="preserve">Please do not contact a radiologist before attempting to obtain the implant or device information </w:t>
      </w:r>
      <w:r w:rsidR="00196850">
        <w:t>using</w:t>
      </w:r>
      <w:r>
        <w:t xml:space="preserve"> the patient’s MRI card or</w:t>
      </w:r>
      <w:r w:rsidR="00196850">
        <w:t xml:space="preserve"> through</w:t>
      </w:r>
      <w:r>
        <w:t xml:space="preserve"> prior operative</w:t>
      </w:r>
      <w:r w:rsidR="00196850">
        <w:t>/procedure</w:t>
      </w:r>
      <w:r>
        <w:t xml:space="preserve"> report</w:t>
      </w:r>
      <w:r w:rsidR="00196850">
        <w:t>s</w:t>
      </w:r>
      <w:r>
        <w:t>.</w:t>
      </w:r>
    </w:p>
    <w:p w14:paraId="4F041956" w14:textId="0C672922" w:rsidR="00FA07D5" w:rsidRDefault="00FA07D5" w:rsidP="008D1BCA">
      <w:pPr>
        <w:pStyle w:val="ListParagraph"/>
        <w:numPr>
          <w:ilvl w:val="1"/>
          <w:numId w:val="1"/>
        </w:numPr>
        <w:spacing w:line="240" w:lineRule="auto"/>
      </w:pPr>
      <w:r>
        <w:t>Any radiologist can be contacted in the following scenarios:</w:t>
      </w:r>
    </w:p>
    <w:p w14:paraId="12B03F31" w14:textId="6E617DD8" w:rsidR="00FA07D5" w:rsidRDefault="00A83DD1" w:rsidP="008D1BCA">
      <w:pPr>
        <w:pStyle w:val="ListParagraph"/>
        <w:numPr>
          <w:ilvl w:val="2"/>
          <w:numId w:val="1"/>
        </w:numPr>
        <w:spacing w:line="240" w:lineRule="auto"/>
      </w:pPr>
      <w:r>
        <w:t>For further</w:t>
      </w:r>
      <w:r w:rsidR="00FA07D5">
        <w:t xml:space="preserve"> guidance if there is no available information about the patient’s device or implant</w:t>
      </w:r>
    </w:p>
    <w:p w14:paraId="623C0150" w14:textId="143FF5E3" w:rsidR="00AA23DE" w:rsidRDefault="00AA23DE" w:rsidP="008D1BCA">
      <w:pPr>
        <w:pStyle w:val="ListParagraph"/>
        <w:numPr>
          <w:ilvl w:val="2"/>
          <w:numId w:val="1"/>
        </w:numPr>
        <w:spacing w:line="240" w:lineRule="auto"/>
      </w:pPr>
      <w:r>
        <w:t>To discuss if the implant or device conditions cannot be safely met and therefore require exam cancellation or scheduling at a different institution.</w:t>
      </w:r>
    </w:p>
    <w:p w14:paraId="2DFF0A03" w14:textId="30895AA2" w:rsidR="00FA07D5" w:rsidRDefault="00FA07D5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To </w:t>
      </w:r>
      <w:r w:rsidR="00003057">
        <w:t>review</w:t>
      </w:r>
      <w:r>
        <w:t xml:space="preserve"> foreign body radiographs for MR approval or </w:t>
      </w:r>
      <w:r w:rsidR="00A83DD1">
        <w:t xml:space="preserve">if </w:t>
      </w:r>
      <w:r>
        <w:t>additional imaging</w:t>
      </w:r>
      <w:r w:rsidR="00AA23DE">
        <w:t xml:space="preserve"> (CT)</w:t>
      </w:r>
      <w:r w:rsidR="00A83DD1">
        <w:t xml:space="preserve"> is required</w:t>
      </w:r>
      <w:r w:rsidR="00AA23DE">
        <w:t>.</w:t>
      </w:r>
    </w:p>
    <w:p w14:paraId="1AF776A6" w14:textId="1ED9BE4E" w:rsidR="00003057" w:rsidRDefault="00003057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To assess images with </w:t>
      </w:r>
      <w:r w:rsidR="00A83DD1">
        <w:t xml:space="preserve">visible </w:t>
      </w:r>
      <w:r>
        <w:t xml:space="preserve">metal </w:t>
      </w:r>
      <w:proofErr w:type="gramStart"/>
      <w:r>
        <w:t>artifact</w:t>
      </w:r>
      <w:proofErr w:type="gramEnd"/>
      <w:r>
        <w:t xml:space="preserve"> during MR examinations</w:t>
      </w:r>
    </w:p>
    <w:p w14:paraId="2E93FF72" w14:textId="36767E4B" w:rsidR="00196850" w:rsidRDefault="00196850" w:rsidP="00196850">
      <w:pPr>
        <w:pStyle w:val="ListParagraph"/>
        <w:numPr>
          <w:ilvl w:val="1"/>
          <w:numId w:val="1"/>
        </w:numPr>
        <w:spacing w:line="240" w:lineRule="auto"/>
      </w:pPr>
      <w:r>
        <w:t>Any patients with implanted devices or foreign bodies should be awake and alert to notify staff of discomfort during the examination.</w:t>
      </w:r>
    </w:p>
    <w:p w14:paraId="3DAF8B4E" w14:textId="3A956399" w:rsidR="0011429E" w:rsidRDefault="0011429E" w:rsidP="008D1BCA">
      <w:pPr>
        <w:pStyle w:val="ListParagraph"/>
        <w:numPr>
          <w:ilvl w:val="0"/>
          <w:numId w:val="1"/>
        </w:numPr>
        <w:spacing w:line="240" w:lineRule="auto"/>
      </w:pPr>
      <w:r>
        <w:t>Resources</w:t>
      </w:r>
    </w:p>
    <w:p w14:paraId="5F47ED2E" w14:textId="605FBC9C" w:rsidR="0011429E" w:rsidRDefault="0011429E" w:rsidP="008D1BCA">
      <w:pPr>
        <w:pStyle w:val="ListParagraph"/>
        <w:numPr>
          <w:ilvl w:val="1"/>
          <w:numId w:val="1"/>
        </w:numPr>
        <w:spacing w:line="240" w:lineRule="auto"/>
      </w:pPr>
      <w:proofErr w:type="spellStart"/>
      <w:r>
        <w:t>Mag</w:t>
      </w:r>
      <w:r w:rsidR="00FA07D5">
        <w:t>R</w:t>
      </w:r>
      <w:r>
        <w:t>esource</w:t>
      </w:r>
      <w:proofErr w:type="spellEnd"/>
      <w:r w:rsidR="00FA07D5">
        <w:t xml:space="preserve">: </w:t>
      </w:r>
      <w:r w:rsidR="00FA07D5" w:rsidRPr="00FA07D5">
        <w:rPr>
          <w:u w:val="single"/>
        </w:rPr>
        <w:t>STRONGLY RECOMMENDED</w:t>
      </w:r>
    </w:p>
    <w:p w14:paraId="633C5EFA" w14:textId="62728E0D" w:rsidR="00FA07D5" w:rsidRDefault="00FA07D5" w:rsidP="008D1BCA">
      <w:pPr>
        <w:pStyle w:val="ListParagraph"/>
        <w:numPr>
          <w:ilvl w:val="2"/>
          <w:numId w:val="1"/>
        </w:numPr>
        <w:spacing w:line="240" w:lineRule="auto"/>
      </w:pPr>
      <w:r>
        <w:t>Used by MR Associates</w:t>
      </w:r>
    </w:p>
    <w:p w14:paraId="70C31C2A" w14:textId="385780BC" w:rsidR="00FA07D5" w:rsidRDefault="00FA07D5" w:rsidP="008D1BCA">
      <w:pPr>
        <w:pStyle w:val="ListParagraph"/>
        <w:numPr>
          <w:ilvl w:val="2"/>
          <w:numId w:val="1"/>
        </w:numPr>
        <w:spacing w:line="240" w:lineRule="auto"/>
      </w:pPr>
      <w:r>
        <w:t>Annual subscription: $280 for one MR scanner</w:t>
      </w:r>
    </w:p>
    <w:p w14:paraId="75B3B78F" w14:textId="4854B531" w:rsidR="00FA07D5" w:rsidRDefault="00FA07D5" w:rsidP="008D1BCA">
      <w:pPr>
        <w:pStyle w:val="ListParagraph"/>
        <w:numPr>
          <w:ilvl w:val="2"/>
          <w:numId w:val="1"/>
        </w:numPr>
        <w:spacing w:line="240" w:lineRule="auto"/>
      </w:pPr>
      <w:r>
        <w:t>Web-based searchable online database of MRI safety information that is updated daily.</w:t>
      </w:r>
    </w:p>
    <w:p w14:paraId="4D2B24B6" w14:textId="02DD4BC1" w:rsidR="0011429E" w:rsidRDefault="0011429E" w:rsidP="008D1BCA">
      <w:pPr>
        <w:pStyle w:val="ListParagraph"/>
        <w:numPr>
          <w:ilvl w:val="1"/>
          <w:numId w:val="1"/>
        </w:numPr>
        <w:spacing w:line="240" w:lineRule="auto"/>
      </w:pPr>
      <w:r>
        <w:t>MRI questions</w:t>
      </w:r>
      <w:r w:rsidR="00FA07D5">
        <w:t xml:space="preserve"> (</w:t>
      </w:r>
      <w:r w:rsidR="00FA07D5" w:rsidRPr="00FA07D5">
        <w:t>https://mriquestions.com/index.html</w:t>
      </w:r>
      <w:r w:rsidR="00FA07D5">
        <w:t>)</w:t>
      </w:r>
    </w:p>
    <w:p w14:paraId="5676FFF0" w14:textId="565DD459" w:rsidR="0011429E" w:rsidRDefault="0011429E" w:rsidP="008D1BCA">
      <w:pPr>
        <w:pStyle w:val="ListParagraph"/>
        <w:numPr>
          <w:ilvl w:val="1"/>
          <w:numId w:val="1"/>
        </w:numPr>
        <w:spacing w:line="240" w:lineRule="auto"/>
      </w:pPr>
      <w:r>
        <w:t>MRI safety</w:t>
      </w:r>
      <w:r w:rsidR="00FA07D5">
        <w:t xml:space="preserve"> (</w:t>
      </w:r>
      <w:r w:rsidR="00FA07D5" w:rsidRPr="00FA07D5">
        <w:t>https://www.mrisafety.com/</w:t>
      </w:r>
      <w:r w:rsidR="00FA07D5">
        <w:t>)</w:t>
      </w:r>
    </w:p>
    <w:p w14:paraId="192504A6" w14:textId="42F2E82E" w:rsidR="0011429E" w:rsidRDefault="00AA23DE" w:rsidP="008D1BCA">
      <w:pPr>
        <w:pStyle w:val="ListParagraph"/>
        <w:numPr>
          <w:ilvl w:val="0"/>
          <w:numId w:val="1"/>
        </w:numPr>
        <w:spacing w:line="240" w:lineRule="auto"/>
      </w:pPr>
      <w:r>
        <w:t xml:space="preserve">Additional information </w:t>
      </w:r>
      <w:r w:rsidR="00BB1C05">
        <w:t>about</w:t>
      </w:r>
      <w:r>
        <w:t xml:space="preserve"> foreign bodies</w:t>
      </w:r>
    </w:p>
    <w:p w14:paraId="448F4556" w14:textId="164B30DB" w:rsidR="008D1BCA" w:rsidRDefault="008D1BCA" w:rsidP="008D1BCA">
      <w:pPr>
        <w:pStyle w:val="ListParagraph"/>
        <w:numPr>
          <w:ilvl w:val="1"/>
          <w:numId w:val="1"/>
        </w:numPr>
        <w:spacing w:line="240" w:lineRule="auto"/>
      </w:pPr>
      <w:r w:rsidRPr="008D1BCA">
        <w:rPr>
          <w:u w:val="single"/>
        </w:rPr>
        <w:t>All metal fragments should be considered ferromagnetic unless proven otherwise</w:t>
      </w:r>
      <w:r>
        <w:t>.</w:t>
      </w:r>
    </w:p>
    <w:p w14:paraId="4E0A2C7C" w14:textId="74DF8327" w:rsidR="00AA23DE" w:rsidRDefault="00AA23DE" w:rsidP="008D1BCA">
      <w:pPr>
        <w:pStyle w:val="ListParagraph"/>
        <w:numPr>
          <w:ilvl w:val="1"/>
          <w:numId w:val="1"/>
        </w:numPr>
        <w:spacing w:line="240" w:lineRule="auto"/>
      </w:pPr>
      <w:r>
        <w:t xml:space="preserve">Heating </w:t>
      </w:r>
    </w:p>
    <w:p w14:paraId="77597599" w14:textId="231C892C" w:rsidR="00AA23DE" w:rsidRDefault="00AA23DE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 If the object measures less than 2.0 cm in all directions and is located greater than 3.0 cm from another passive implant or foreign body significant heating should not occur</w:t>
      </w:r>
    </w:p>
    <w:p w14:paraId="3E0165A5" w14:textId="77BB4862" w:rsidR="00AA23DE" w:rsidRDefault="00AA23DE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Despite a small size, there may still be significant metallic </w:t>
      </w:r>
      <w:proofErr w:type="gramStart"/>
      <w:r>
        <w:t>artifact</w:t>
      </w:r>
      <w:proofErr w:type="gramEnd"/>
      <w:r>
        <w:t xml:space="preserve"> on images, which could limit exam interpretation.</w:t>
      </w:r>
    </w:p>
    <w:p w14:paraId="4F39B287" w14:textId="77777777" w:rsidR="00EC196C" w:rsidRDefault="00EC196C" w:rsidP="008D1BCA">
      <w:pPr>
        <w:pStyle w:val="ListParagraph"/>
        <w:numPr>
          <w:ilvl w:val="1"/>
          <w:numId w:val="1"/>
        </w:numPr>
        <w:spacing w:line="240" w:lineRule="auto"/>
      </w:pPr>
      <w:r>
        <w:t>Movement</w:t>
      </w:r>
    </w:p>
    <w:p w14:paraId="3C16B428" w14:textId="6491FF11" w:rsidR="00AA23DE" w:rsidRDefault="00EC196C" w:rsidP="008D1BCA">
      <w:pPr>
        <w:pStyle w:val="ListParagraph"/>
        <w:numPr>
          <w:ilvl w:val="2"/>
          <w:numId w:val="1"/>
        </w:numPr>
        <w:spacing w:line="240" w:lineRule="auto"/>
      </w:pPr>
      <w:r>
        <w:t>Torque force</w:t>
      </w:r>
      <w:r w:rsidR="00AA23DE">
        <w:t xml:space="preserve"> (twisting or rotation of an object)</w:t>
      </w:r>
    </w:p>
    <w:p w14:paraId="365BE486" w14:textId="1D800C2C" w:rsidR="00AA23DE" w:rsidRDefault="00AA23DE" w:rsidP="008D1BCA">
      <w:pPr>
        <w:pStyle w:val="ListParagraph"/>
        <w:numPr>
          <w:ilvl w:val="3"/>
          <w:numId w:val="1"/>
        </w:numPr>
        <w:spacing w:line="240" w:lineRule="auto"/>
      </w:pPr>
      <w:r>
        <w:t>Strongest at isocenter</w:t>
      </w:r>
    </w:p>
    <w:p w14:paraId="78C15C55" w14:textId="7F4C2F9E" w:rsidR="00AA23DE" w:rsidRDefault="00AA23DE" w:rsidP="008D1BCA">
      <w:pPr>
        <w:pStyle w:val="ListParagraph"/>
        <w:numPr>
          <w:ilvl w:val="3"/>
          <w:numId w:val="1"/>
        </w:numPr>
        <w:spacing w:line="240" w:lineRule="auto"/>
      </w:pPr>
      <w:r>
        <w:t>Round objects are of less concern than linear or irregular objects</w:t>
      </w:r>
    </w:p>
    <w:p w14:paraId="2DE1CC16" w14:textId="5BD3898B" w:rsidR="00AA23DE" w:rsidRDefault="00AA23DE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Translational force (displacement of an object toward </w:t>
      </w:r>
      <w:r w:rsidR="00901740">
        <w:t>the bore</w:t>
      </w:r>
      <w:r>
        <w:t>)</w:t>
      </w:r>
    </w:p>
    <w:p w14:paraId="6055D95E" w14:textId="030EEA92" w:rsidR="00EC196C" w:rsidRDefault="00EC196C" w:rsidP="008D1BCA">
      <w:pPr>
        <w:pStyle w:val="ListParagraph"/>
        <w:numPr>
          <w:ilvl w:val="3"/>
          <w:numId w:val="1"/>
        </w:numPr>
        <w:spacing w:line="240" w:lineRule="auto"/>
      </w:pPr>
      <w:r>
        <w:t>Strongest near the opening of the bore</w:t>
      </w:r>
    </w:p>
    <w:p w14:paraId="19C9847D" w14:textId="5B306EBD" w:rsidR="00EC196C" w:rsidRDefault="00EC196C" w:rsidP="008D1BCA">
      <w:pPr>
        <w:pStyle w:val="ListParagraph"/>
        <w:numPr>
          <w:ilvl w:val="3"/>
          <w:numId w:val="1"/>
        </w:numPr>
        <w:spacing w:line="240" w:lineRule="auto"/>
      </w:pPr>
      <w:r>
        <w:t xml:space="preserve">Weakest at </w:t>
      </w:r>
      <w:proofErr w:type="gramStart"/>
      <w:r>
        <w:t>isocenter</w:t>
      </w:r>
      <w:proofErr w:type="gramEnd"/>
    </w:p>
    <w:p w14:paraId="347E5BAE" w14:textId="77777777" w:rsidR="008D1BCA" w:rsidRDefault="008D1BCA" w:rsidP="008D1BCA">
      <w:pPr>
        <w:pStyle w:val="ListParagraph"/>
        <w:numPr>
          <w:ilvl w:val="1"/>
          <w:numId w:val="1"/>
        </w:numPr>
        <w:spacing w:line="240" w:lineRule="auto"/>
      </w:pPr>
      <w:r>
        <w:t>Lenz force (non-ferrous, electrically conductive objects)</w:t>
      </w:r>
    </w:p>
    <w:p w14:paraId="6E8FFC7F" w14:textId="1ACC54B4" w:rsidR="008D1BCA" w:rsidRDefault="008D1BCA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Electrical current produced by the object when moved through the static field, which then creates a smaller magnetic field that can cause repulsion of the implant </w:t>
      </w:r>
      <w:r w:rsidR="00A83DD1">
        <w:t xml:space="preserve">away </w:t>
      </w:r>
      <w:r>
        <w:t>from the static field</w:t>
      </w:r>
    </w:p>
    <w:p w14:paraId="4A3A2A87" w14:textId="1E5A0D62" w:rsidR="008D1BCA" w:rsidRDefault="008D1BCA" w:rsidP="008D1BCA">
      <w:pPr>
        <w:pStyle w:val="ListParagraph"/>
        <w:numPr>
          <w:ilvl w:val="2"/>
          <w:numId w:val="1"/>
        </w:numPr>
        <w:spacing w:line="240" w:lineRule="auto"/>
      </w:pPr>
      <w:r>
        <w:t>Move patients into the scanner and bore slowly to avoid Lenz force</w:t>
      </w:r>
    </w:p>
    <w:p w14:paraId="6F7E7227" w14:textId="34F2E255" w:rsidR="00EC196C" w:rsidRDefault="00EC196C" w:rsidP="008D1BCA">
      <w:pPr>
        <w:pStyle w:val="ListParagraph"/>
        <w:numPr>
          <w:ilvl w:val="1"/>
          <w:numId w:val="1"/>
        </w:numPr>
        <w:spacing w:line="240" w:lineRule="auto"/>
      </w:pPr>
      <w:r>
        <w:t>Location of foreign body</w:t>
      </w:r>
    </w:p>
    <w:p w14:paraId="42BCAE31" w14:textId="77777777" w:rsidR="00BB1C05" w:rsidRDefault="00EC196C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Higher risk: </w:t>
      </w:r>
    </w:p>
    <w:p w14:paraId="7855E83D" w14:textId="75FCC901" w:rsidR="00EC196C" w:rsidRDefault="00BB1C05" w:rsidP="008D1BCA">
      <w:pPr>
        <w:pStyle w:val="ListParagraph"/>
        <w:numPr>
          <w:ilvl w:val="3"/>
          <w:numId w:val="1"/>
        </w:numPr>
        <w:spacing w:line="240" w:lineRule="auto"/>
      </w:pPr>
      <w:r>
        <w:t>S</w:t>
      </w:r>
      <w:r w:rsidR="00EC196C">
        <w:t>oft tissues such as solid organs (brain, liver, spleen, lung)</w:t>
      </w:r>
    </w:p>
    <w:p w14:paraId="1D43ED3C" w14:textId="4C17380E" w:rsidR="00BB1C05" w:rsidRDefault="00BB1C05" w:rsidP="008D1BCA">
      <w:pPr>
        <w:pStyle w:val="ListParagraph"/>
        <w:numPr>
          <w:ilvl w:val="3"/>
          <w:numId w:val="1"/>
        </w:numPr>
        <w:spacing w:line="240" w:lineRule="auto"/>
      </w:pPr>
      <w:r>
        <w:t>Vital structures such as orbits, spinal cord, neurovascular bundle</w:t>
      </w:r>
    </w:p>
    <w:p w14:paraId="79A158D3" w14:textId="2A5F4DD0" w:rsidR="00BB1C05" w:rsidRDefault="00EC196C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Lower risk: </w:t>
      </w:r>
    </w:p>
    <w:p w14:paraId="769EA3A3" w14:textId="1C5B4DB3" w:rsidR="00EC196C" w:rsidRDefault="00BB1C05" w:rsidP="008D1BCA">
      <w:pPr>
        <w:pStyle w:val="ListParagraph"/>
        <w:numPr>
          <w:ilvl w:val="3"/>
          <w:numId w:val="1"/>
        </w:numPr>
        <w:spacing w:line="240" w:lineRule="auto"/>
      </w:pPr>
      <w:r>
        <w:t>T</w:t>
      </w:r>
      <w:r w:rsidR="00EC196C">
        <w:t>ough tissues such as bone, tendon, skeletal muscle</w:t>
      </w:r>
    </w:p>
    <w:p w14:paraId="56B21208" w14:textId="44EF2F11" w:rsidR="00EC196C" w:rsidRDefault="00BB1C05" w:rsidP="008D1BCA">
      <w:pPr>
        <w:pStyle w:val="ListParagraph"/>
        <w:numPr>
          <w:ilvl w:val="1"/>
          <w:numId w:val="1"/>
        </w:numPr>
        <w:spacing w:line="240" w:lineRule="auto"/>
      </w:pPr>
      <w:r>
        <w:t>Time since injury</w:t>
      </w:r>
    </w:p>
    <w:p w14:paraId="1A3F3152" w14:textId="0BE1490F" w:rsidR="00BB1C05" w:rsidRDefault="00BB1C05" w:rsidP="008D1BCA">
      <w:pPr>
        <w:pStyle w:val="ListParagraph"/>
        <w:numPr>
          <w:ilvl w:val="2"/>
          <w:numId w:val="1"/>
        </w:numPr>
        <w:spacing w:line="240" w:lineRule="auto"/>
      </w:pPr>
      <w:r>
        <w:t xml:space="preserve">Higher risk: days or weeks since foreign body injury </w:t>
      </w:r>
    </w:p>
    <w:p w14:paraId="09158D23" w14:textId="4B90ED78" w:rsidR="00BB1C05" w:rsidRDefault="00BB1C05" w:rsidP="008D1BCA">
      <w:pPr>
        <w:pStyle w:val="ListParagraph"/>
        <w:numPr>
          <w:ilvl w:val="2"/>
          <w:numId w:val="1"/>
        </w:numPr>
        <w:spacing w:line="240" w:lineRule="auto"/>
      </w:pPr>
      <w:r>
        <w:t>Lower risk: months or years since foreign body injury</w:t>
      </w:r>
    </w:p>
    <w:p w14:paraId="7D529C15" w14:textId="419CCAAA" w:rsidR="00DE7941" w:rsidRDefault="00BB1C05" w:rsidP="008D1BCA">
      <w:pPr>
        <w:pStyle w:val="ListParagraph"/>
        <w:numPr>
          <w:ilvl w:val="3"/>
          <w:numId w:val="1"/>
        </w:numPr>
        <w:spacing w:line="240" w:lineRule="auto"/>
      </w:pPr>
      <w:r>
        <w:t>Restrained by capsule of scar tissu</w:t>
      </w:r>
      <w:r w:rsidR="00003057">
        <w:t>e</w:t>
      </w:r>
    </w:p>
    <w:p w14:paraId="61D973D8" w14:textId="4B944895" w:rsidR="009259E5" w:rsidRPr="00003057" w:rsidRDefault="009259E5" w:rsidP="009259E5">
      <w:pPr>
        <w:pStyle w:val="ListParagraph"/>
        <w:numPr>
          <w:ilvl w:val="1"/>
          <w:numId w:val="1"/>
        </w:numPr>
        <w:spacing w:line="240" w:lineRule="auto"/>
      </w:pPr>
      <w:r>
        <w:t>Surgical removal of the foreign body can always be considered prior to MRI.</w:t>
      </w:r>
    </w:p>
    <w:p w14:paraId="2C1AE3C9" w14:textId="77777777" w:rsidR="00087AF3" w:rsidRDefault="00087AF3" w:rsidP="00087AF3">
      <w:pPr>
        <w:spacing w:after="0" w:line="240" w:lineRule="auto"/>
        <w:rPr>
          <w:sz w:val="12"/>
          <w:szCs w:val="12"/>
        </w:rPr>
      </w:pPr>
      <w:r w:rsidRPr="00087AF3">
        <w:rPr>
          <w:sz w:val="12"/>
          <w:szCs w:val="12"/>
        </w:rPr>
        <w:t>References</w:t>
      </w:r>
    </w:p>
    <w:p w14:paraId="1EA15E8D" w14:textId="77777777" w:rsidR="00087AF3" w:rsidRPr="00087AF3" w:rsidRDefault="00087AF3" w:rsidP="00087AF3">
      <w:pPr>
        <w:spacing w:after="0" w:line="240" w:lineRule="auto"/>
        <w:rPr>
          <w:sz w:val="12"/>
          <w:szCs w:val="12"/>
        </w:rPr>
      </w:pPr>
    </w:p>
    <w:p w14:paraId="2FB51A78" w14:textId="77777777" w:rsidR="00087AF3" w:rsidRPr="00087AF3" w:rsidRDefault="00087AF3" w:rsidP="00087AF3">
      <w:pPr>
        <w:spacing w:after="0" w:line="276" w:lineRule="auto"/>
        <w:rPr>
          <w:sz w:val="12"/>
          <w:szCs w:val="12"/>
        </w:rPr>
      </w:pPr>
      <w:r w:rsidRPr="00087AF3">
        <w:rPr>
          <w:sz w:val="12"/>
          <w:szCs w:val="12"/>
        </w:rPr>
        <w:t xml:space="preserve">United States. Department of Health and Human Services, issuing body, issuing body United States. Food and Drug </w:t>
      </w:r>
      <w:proofErr w:type="gramStart"/>
      <w:r w:rsidRPr="00087AF3">
        <w:rPr>
          <w:sz w:val="12"/>
          <w:szCs w:val="12"/>
        </w:rPr>
        <w:t>Administration, and</w:t>
      </w:r>
      <w:proofErr w:type="gramEnd"/>
      <w:r w:rsidRPr="00087AF3">
        <w:rPr>
          <w:sz w:val="12"/>
          <w:szCs w:val="12"/>
        </w:rPr>
        <w:t xml:space="preserve"> issuing body Center for Devices and Radiological Health. Testing and Labeling Medical Devices for Safety in the Magnetic Resonance (MR) </w:t>
      </w:r>
      <w:proofErr w:type="gramStart"/>
      <w:r w:rsidRPr="00087AF3">
        <w:rPr>
          <w:sz w:val="12"/>
          <w:szCs w:val="12"/>
        </w:rPr>
        <w:t>Environment</w:t>
      </w:r>
      <w:r w:rsidRPr="00087AF3">
        <w:rPr>
          <w:rFonts w:ascii="Arial" w:hAnsi="Arial" w:cs="Arial"/>
          <w:sz w:val="12"/>
          <w:szCs w:val="12"/>
        </w:rPr>
        <w:t> </w:t>
      </w:r>
      <w:r w:rsidRPr="00087AF3">
        <w:rPr>
          <w:sz w:val="12"/>
          <w:szCs w:val="12"/>
        </w:rPr>
        <w:t>:</w:t>
      </w:r>
      <w:proofErr w:type="gramEnd"/>
      <w:r w:rsidRPr="00087AF3">
        <w:rPr>
          <w:sz w:val="12"/>
          <w:szCs w:val="12"/>
        </w:rPr>
        <w:t xml:space="preserve"> Guidance for Industry and Food and Drug Administration Staff. Silver Spring, MD: Center for Devices and Radiological Health, 2021. Print.</w:t>
      </w:r>
    </w:p>
    <w:p w14:paraId="51C53FDD" w14:textId="77777777" w:rsidR="00087AF3" w:rsidRPr="00087AF3" w:rsidRDefault="00087AF3" w:rsidP="00087AF3">
      <w:pPr>
        <w:spacing w:after="0" w:line="276" w:lineRule="auto"/>
        <w:rPr>
          <w:sz w:val="12"/>
          <w:szCs w:val="12"/>
        </w:rPr>
      </w:pPr>
      <w:r w:rsidRPr="00087AF3">
        <w:rPr>
          <w:sz w:val="12"/>
          <w:szCs w:val="12"/>
        </w:rPr>
        <w:t xml:space="preserve">Elster, A. MRI questions &amp; answers; MR Imaging Physics &amp; Technology. Questions and Answers </w:t>
      </w:r>
      <w:r w:rsidRPr="00087AF3">
        <w:rPr>
          <w:rFonts w:ascii="Arial" w:hAnsi="Arial" w:cs="Arial"/>
          <w:sz w:val="12"/>
          <w:szCs w:val="12"/>
        </w:rPr>
        <w:t>​</w:t>
      </w:r>
      <w:r w:rsidRPr="00087AF3">
        <w:rPr>
          <w:sz w:val="12"/>
          <w:szCs w:val="12"/>
        </w:rPr>
        <w:t xml:space="preserve">in MRI (2015). Available at: </w:t>
      </w:r>
      <w:hyperlink r:id="rId5" w:history="1">
        <w:r w:rsidRPr="00087AF3">
          <w:rPr>
            <w:rStyle w:val="Hyperlink"/>
            <w:sz w:val="12"/>
            <w:szCs w:val="12"/>
          </w:rPr>
          <w:t>http://mriquestions.com/</w:t>
        </w:r>
      </w:hyperlink>
    </w:p>
    <w:p w14:paraId="172FEC10" w14:textId="77777777" w:rsidR="00087AF3" w:rsidRPr="00196850" w:rsidRDefault="00087AF3" w:rsidP="00087AF3">
      <w:pPr>
        <w:spacing w:after="0" w:line="276" w:lineRule="auto"/>
        <w:rPr>
          <w:sz w:val="12"/>
          <w:szCs w:val="12"/>
        </w:rPr>
      </w:pPr>
      <w:proofErr w:type="spellStart"/>
      <w:r w:rsidRPr="00196850">
        <w:rPr>
          <w:sz w:val="12"/>
          <w:szCs w:val="12"/>
        </w:rPr>
        <w:t>Shellock</w:t>
      </w:r>
      <w:proofErr w:type="spellEnd"/>
      <w:r w:rsidRPr="00196850">
        <w:rPr>
          <w:sz w:val="12"/>
          <w:szCs w:val="12"/>
        </w:rPr>
        <w:t xml:space="preserve">, F. Welcome to mrisafety.com! </w:t>
      </w:r>
      <w:r w:rsidRPr="00196850">
        <w:rPr>
          <w:i/>
          <w:iCs/>
          <w:sz w:val="12"/>
          <w:szCs w:val="12"/>
        </w:rPr>
        <w:t>MRI Safety Home</w:t>
      </w:r>
      <w:r w:rsidRPr="00196850">
        <w:rPr>
          <w:sz w:val="12"/>
          <w:szCs w:val="12"/>
        </w:rPr>
        <w:t xml:space="preserve"> Available at: https://www.mrisafety.com/</w:t>
      </w:r>
    </w:p>
    <w:p w14:paraId="07A88F9D" w14:textId="753E975C" w:rsidR="00DE7941" w:rsidRDefault="00DE7941" w:rsidP="008D1BCA">
      <w:pPr>
        <w:spacing w:line="240" w:lineRule="auto"/>
        <w:rPr>
          <w:sz w:val="18"/>
          <w:szCs w:val="18"/>
        </w:rPr>
      </w:pPr>
    </w:p>
    <w:p w14:paraId="7FA5572E" w14:textId="7D418C0B" w:rsidR="00DE7941" w:rsidRDefault="009259E5" w:rsidP="008D1BCA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0B1F68FF" wp14:editId="7574F9FA">
            <wp:simplePos x="0" y="0"/>
            <wp:positionH relativeFrom="column">
              <wp:posOffset>3536950</wp:posOffset>
            </wp:positionH>
            <wp:positionV relativeFrom="paragraph">
              <wp:posOffset>-1905</wp:posOffset>
            </wp:positionV>
            <wp:extent cx="3325091" cy="3657600"/>
            <wp:effectExtent l="0" t="0" r="8890" b="0"/>
            <wp:wrapNone/>
            <wp:docPr id="18148313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91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B2C6B40" wp14:editId="23A6DE63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3375505" cy="4006850"/>
            <wp:effectExtent l="0" t="0" r="0" b="0"/>
            <wp:wrapNone/>
            <wp:docPr id="9862141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05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E8836" w14:textId="55C5719D" w:rsidR="00DE7941" w:rsidRDefault="00DE7941" w:rsidP="008D1BCA">
      <w:pPr>
        <w:spacing w:line="240" w:lineRule="auto"/>
        <w:rPr>
          <w:sz w:val="18"/>
          <w:szCs w:val="18"/>
        </w:rPr>
      </w:pPr>
    </w:p>
    <w:p w14:paraId="398300C6" w14:textId="15642C8C" w:rsidR="00087AF3" w:rsidRDefault="00087AF3" w:rsidP="008D1BCA">
      <w:pPr>
        <w:spacing w:line="240" w:lineRule="auto"/>
        <w:rPr>
          <w:sz w:val="18"/>
          <w:szCs w:val="18"/>
        </w:rPr>
      </w:pPr>
    </w:p>
    <w:p w14:paraId="2760F1CF" w14:textId="7F17A7ED" w:rsidR="00087AF3" w:rsidRDefault="00087AF3" w:rsidP="008D1BCA">
      <w:pPr>
        <w:spacing w:line="240" w:lineRule="auto"/>
        <w:rPr>
          <w:sz w:val="18"/>
          <w:szCs w:val="18"/>
        </w:rPr>
      </w:pPr>
    </w:p>
    <w:p w14:paraId="48C69171" w14:textId="7B0866CA" w:rsidR="00087AF3" w:rsidRDefault="00087AF3" w:rsidP="008D1BCA">
      <w:pPr>
        <w:spacing w:line="240" w:lineRule="auto"/>
        <w:rPr>
          <w:sz w:val="18"/>
          <w:szCs w:val="18"/>
        </w:rPr>
      </w:pPr>
    </w:p>
    <w:p w14:paraId="4F18214E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240FF542" w14:textId="0F42892F" w:rsidR="00087AF3" w:rsidRDefault="00087AF3" w:rsidP="008D1BCA">
      <w:pPr>
        <w:spacing w:line="240" w:lineRule="auto"/>
        <w:rPr>
          <w:sz w:val="18"/>
          <w:szCs w:val="18"/>
        </w:rPr>
      </w:pPr>
    </w:p>
    <w:p w14:paraId="33BD426E" w14:textId="27D9D036" w:rsidR="00087AF3" w:rsidRDefault="00087AF3" w:rsidP="008D1BCA">
      <w:pPr>
        <w:spacing w:line="240" w:lineRule="auto"/>
        <w:rPr>
          <w:sz w:val="18"/>
          <w:szCs w:val="18"/>
        </w:rPr>
      </w:pPr>
    </w:p>
    <w:p w14:paraId="648B16C0" w14:textId="26ED0543" w:rsidR="00087AF3" w:rsidRDefault="00087AF3" w:rsidP="008D1BCA">
      <w:pPr>
        <w:spacing w:line="240" w:lineRule="auto"/>
        <w:rPr>
          <w:sz w:val="18"/>
          <w:szCs w:val="18"/>
        </w:rPr>
      </w:pPr>
    </w:p>
    <w:p w14:paraId="32C9EA75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7EE0A250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79E93D85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1C537EE6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60740293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05BF8848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51EE4A8F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0302C625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4B7C6CBB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40CC129B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4BF44F18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539FAB72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090BF740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7887D30D" w14:textId="4A24F562" w:rsidR="00087AF3" w:rsidRDefault="00087AF3" w:rsidP="008D1BCA">
      <w:pPr>
        <w:spacing w:line="240" w:lineRule="auto"/>
        <w:rPr>
          <w:sz w:val="18"/>
          <w:szCs w:val="18"/>
        </w:rPr>
      </w:pPr>
    </w:p>
    <w:p w14:paraId="7DB0EDF2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6C7F4A67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07F9E6F7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387FFD5E" w14:textId="77777777" w:rsidR="00087AF3" w:rsidRDefault="00087AF3" w:rsidP="008D1BCA">
      <w:pPr>
        <w:spacing w:line="240" w:lineRule="auto"/>
        <w:rPr>
          <w:sz w:val="18"/>
          <w:szCs w:val="18"/>
        </w:rPr>
      </w:pPr>
    </w:p>
    <w:p w14:paraId="25A1A20A" w14:textId="2D7499DB" w:rsidR="00196850" w:rsidRPr="008D1BCA" w:rsidRDefault="00196850" w:rsidP="008D1BCA">
      <w:pPr>
        <w:spacing w:line="240" w:lineRule="auto"/>
        <w:rPr>
          <w:sz w:val="18"/>
          <w:szCs w:val="18"/>
        </w:rPr>
      </w:pPr>
    </w:p>
    <w:sectPr w:rsidR="00196850" w:rsidRPr="008D1BCA" w:rsidSect="009259E5">
      <w:pgSz w:w="12240" w:h="15840"/>
      <w:pgMar w:top="576" w:right="85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07580"/>
    <w:multiLevelType w:val="hybridMultilevel"/>
    <w:tmpl w:val="56A0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14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9E"/>
    <w:rsid w:val="00003057"/>
    <w:rsid w:val="00087AF3"/>
    <w:rsid w:val="0011429E"/>
    <w:rsid w:val="00121064"/>
    <w:rsid w:val="001352AD"/>
    <w:rsid w:val="00196850"/>
    <w:rsid w:val="0029486E"/>
    <w:rsid w:val="00341F4A"/>
    <w:rsid w:val="003465A6"/>
    <w:rsid w:val="00377FED"/>
    <w:rsid w:val="003B735E"/>
    <w:rsid w:val="004069A5"/>
    <w:rsid w:val="00493BBC"/>
    <w:rsid w:val="00560B8F"/>
    <w:rsid w:val="00563E08"/>
    <w:rsid w:val="00587843"/>
    <w:rsid w:val="00663251"/>
    <w:rsid w:val="007037FA"/>
    <w:rsid w:val="00760A69"/>
    <w:rsid w:val="0080576F"/>
    <w:rsid w:val="0085668E"/>
    <w:rsid w:val="008D1BCA"/>
    <w:rsid w:val="00901740"/>
    <w:rsid w:val="009259E5"/>
    <w:rsid w:val="00A83DD1"/>
    <w:rsid w:val="00AA23DE"/>
    <w:rsid w:val="00BA0734"/>
    <w:rsid w:val="00BB1C05"/>
    <w:rsid w:val="00C623F9"/>
    <w:rsid w:val="00C947E4"/>
    <w:rsid w:val="00DE7941"/>
    <w:rsid w:val="00E77610"/>
    <w:rsid w:val="00EC196C"/>
    <w:rsid w:val="00FA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20A4"/>
  <w15:chartTrackingRefBased/>
  <w15:docId w15:val="{45296EDE-0E75-4135-88B3-48EC8933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8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riquestion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8</cp:revision>
  <dcterms:created xsi:type="dcterms:W3CDTF">2025-05-08T01:45:00Z</dcterms:created>
  <dcterms:modified xsi:type="dcterms:W3CDTF">2025-07-24T03:06:00Z</dcterms:modified>
</cp:coreProperties>
</file>